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13505E">
      <w:pPr>
        <w:snapToGrid w:val="0"/>
        <w:jc w:val="center"/>
        <w:rPr>
          <w:rFonts w:hint="eastAsia" w:ascii="宋体" w:hAnsi="宋体" w:eastAsia="宋体" w:cs="宋体"/>
          <w:snapToGrid w:val="0"/>
          <w:spacing w:val="20"/>
          <w:kern w:val="0"/>
          <w:sz w:val="52"/>
          <w:szCs w:val="52"/>
        </w:rPr>
      </w:pPr>
    </w:p>
    <w:p w14:paraId="7DA7DE7C">
      <w:pPr>
        <w:snapToGrid w:val="0"/>
        <w:jc w:val="center"/>
        <w:rPr>
          <w:rFonts w:hint="eastAsia" w:ascii="宋体" w:hAnsi="宋体" w:eastAsia="宋体" w:cs="宋体"/>
          <w:snapToGrid w:val="0"/>
          <w:spacing w:val="20"/>
          <w:kern w:val="0"/>
          <w:sz w:val="52"/>
          <w:szCs w:val="52"/>
          <w:lang w:eastAsia="zh-CN"/>
        </w:rPr>
      </w:pPr>
      <w:r>
        <w:rPr>
          <w:rFonts w:hint="eastAsia" w:ascii="宋体" w:hAnsi="宋体" w:cs="宋体"/>
          <w:snapToGrid w:val="0"/>
          <w:spacing w:val="20"/>
          <w:kern w:val="0"/>
          <w:sz w:val="52"/>
          <w:szCs w:val="52"/>
          <w:lang w:eastAsia="zh-CN"/>
        </w:rPr>
        <w:t>中国人民警察大学（广州）视频会议系统及会议室音频系统采购项目</w:t>
      </w:r>
    </w:p>
    <w:p w14:paraId="44B5A06D">
      <w:pPr>
        <w:jc w:val="center"/>
        <w:rPr>
          <w:rFonts w:hint="eastAsia" w:ascii="宋体" w:hAnsi="宋体" w:eastAsia="宋体" w:cs="宋体"/>
          <w:snapToGrid w:val="0"/>
          <w:spacing w:val="20"/>
          <w:kern w:val="0"/>
          <w:sz w:val="52"/>
          <w:szCs w:val="52"/>
          <w:lang w:eastAsia="zh-CN"/>
        </w:rPr>
      </w:pPr>
    </w:p>
    <w:p w14:paraId="37D36D40">
      <w:pPr>
        <w:jc w:val="center"/>
        <w:rPr>
          <w:rFonts w:hint="eastAsia" w:ascii="宋体" w:hAnsi="宋体" w:eastAsia="宋体" w:cs="宋体"/>
          <w:snapToGrid w:val="0"/>
          <w:spacing w:val="20"/>
          <w:kern w:val="0"/>
          <w:sz w:val="72"/>
          <w:szCs w:val="72"/>
        </w:rPr>
      </w:pPr>
    </w:p>
    <w:p w14:paraId="7E9B142F">
      <w:pPr>
        <w:jc w:val="center"/>
        <w:rPr>
          <w:rFonts w:hint="eastAsia" w:ascii="宋体" w:hAnsi="宋体" w:eastAsia="宋体" w:cs="宋体"/>
          <w:snapToGrid w:val="0"/>
          <w:spacing w:val="20"/>
          <w:kern w:val="0"/>
          <w:sz w:val="72"/>
          <w:szCs w:val="72"/>
        </w:rPr>
      </w:pPr>
    </w:p>
    <w:p w14:paraId="06545DB2">
      <w:pPr>
        <w:jc w:val="center"/>
        <w:rPr>
          <w:rFonts w:hint="eastAsia" w:ascii="宋体" w:hAnsi="宋体" w:eastAsia="宋体" w:cs="宋体"/>
          <w:snapToGrid w:val="0"/>
          <w:spacing w:val="20"/>
          <w:kern w:val="0"/>
          <w:sz w:val="72"/>
          <w:szCs w:val="72"/>
        </w:rPr>
      </w:pPr>
    </w:p>
    <w:p w14:paraId="545472FB">
      <w:pPr>
        <w:jc w:val="center"/>
        <w:rPr>
          <w:rFonts w:hint="eastAsia" w:ascii="宋体" w:hAnsi="宋体" w:eastAsia="宋体" w:cs="宋体"/>
          <w:b/>
          <w:sz w:val="72"/>
          <w:szCs w:val="72"/>
          <w:lang w:eastAsia="zh-CN"/>
        </w:rPr>
      </w:pPr>
      <w:r>
        <w:rPr>
          <w:rFonts w:hint="eastAsia" w:ascii="宋体" w:hAnsi="宋体" w:eastAsia="宋体" w:cs="宋体"/>
          <w:snapToGrid w:val="0"/>
          <w:spacing w:val="20"/>
          <w:kern w:val="0"/>
          <w:sz w:val="72"/>
          <w:szCs w:val="72"/>
        </w:rPr>
        <w:t>采购</w:t>
      </w:r>
      <w:r>
        <w:rPr>
          <w:rFonts w:hint="eastAsia" w:ascii="宋体" w:hAnsi="宋体" w:eastAsia="宋体" w:cs="宋体"/>
          <w:snapToGrid w:val="0"/>
          <w:spacing w:val="20"/>
          <w:kern w:val="0"/>
          <w:sz w:val="72"/>
          <w:szCs w:val="72"/>
          <w:lang w:eastAsia="zh-CN"/>
        </w:rPr>
        <w:t>需求文件</w:t>
      </w:r>
    </w:p>
    <w:p w14:paraId="4715938E">
      <w:pPr>
        <w:jc w:val="center"/>
        <w:rPr>
          <w:rFonts w:hint="eastAsia" w:ascii="宋体" w:hAnsi="宋体" w:eastAsia="宋体" w:cs="宋体"/>
          <w:b/>
          <w:sz w:val="72"/>
          <w:szCs w:val="72"/>
        </w:rPr>
      </w:pPr>
    </w:p>
    <w:p w14:paraId="5900CA2A">
      <w:pPr>
        <w:jc w:val="center"/>
        <w:rPr>
          <w:rFonts w:hint="eastAsia" w:ascii="宋体" w:hAnsi="宋体" w:eastAsia="宋体" w:cs="宋体"/>
          <w:b/>
          <w:sz w:val="72"/>
          <w:szCs w:val="72"/>
        </w:rPr>
      </w:pPr>
    </w:p>
    <w:p w14:paraId="09E977D0">
      <w:pPr>
        <w:snapToGrid w:val="0"/>
        <w:jc w:val="center"/>
        <w:rPr>
          <w:rFonts w:hint="eastAsia" w:ascii="宋体" w:hAnsi="宋体" w:eastAsia="宋体" w:cs="宋体"/>
          <w:snapToGrid w:val="0"/>
          <w:spacing w:val="20"/>
          <w:kern w:val="0"/>
          <w:sz w:val="44"/>
          <w:szCs w:val="44"/>
        </w:rPr>
      </w:pPr>
    </w:p>
    <w:p w14:paraId="64E5E122">
      <w:pPr>
        <w:snapToGrid w:val="0"/>
        <w:jc w:val="center"/>
        <w:rPr>
          <w:rFonts w:hint="eastAsia" w:ascii="宋体" w:hAnsi="宋体" w:eastAsia="宋体" w:cs="宋体"/>
          <w:snapToGrid w:val="0"/>
          <w:spacing w:val="20"/>
          <w:kern w:val="0"/>
          <w:sz w:val="44"/>
          <w:szCs w:val="44"/>
        </w:rPr>
      </w:pPr>
    </w:p>
    <w:p w14:paraId="683C7A62">
      <w:pPr>
        <w:snapToGrid w:val="0"/>
        <w:jc w:val="center"/>
        <w:rPr>
          <w:rFonts w:hint="eastAsia" w:ascii="宋体" w:hAnsi="宋体" w:eastAsia="宋体" w:cs="宋体"/>
          <w:snapToGrid w:val="0"/>
          <w:spacing w:val="20"/>
          <w:kern w:val="0"/>
          <w:sz w:val="44"/>
          <w:szCs w:val="44"/>
        </w:rPr>
      </w:pPr>
    </w:p>
    <w:p w14:paraId="1A08194C">
      <w:pPr>
        <w:snapToGrid w:val="0"/>
        <w:jc w:val="center"/>
        <w:rPr>
          <w:rFonts w:hint="eastAsia" w:ascii="宋体" w:hAnsi="宋体" w:eastAsia="宋体" w:cs="宋体"/>
          <w:snapToGrid w:val="0"/>
          <w:spacing w:val="20"/>
          <w:kern w:val="0"/>
          <w:sz w:val="44"/>
          <w:szCs w:val="44"/>
        </w:rPr>
      </w:pPr>
    </w:p>
    <w:p w14:paraId="3AF57A62">
      <w:pPr>
        <w:snapToGrid w:val="0"/>
        <w:jc w:val="center"/>
        <w:rPr>
          <w:rFonts w:hint="eastAsia" w:ascii="宋体" w:hAnsi="宋体" w:eastAsia="宋体" w:cs="宋体"/>
          <w:snapToGrid w:val="0"/>
          <w:spacing w:val="20"/>
          <w:kern w:val="0"/>
          <w:sz w:val="44"/>
          <w:szCs w:val="44"/>
        </w:rPr>
      </w:pPr>
    </w:p>
    <w:p w14:paraId="74E8F055">
      <w:pPr>
        <w:snapToGrid w:val="0"/>
        <w:jc w:val="center"/>
        <w:rPr>
          <w:rFonts w:hint="eastAsia" w:ascii="宋体" w:hAnsi="宋体" w:eastAsia="宋体" w:cs="宋体"/>
          <w:lang w:val="en-US" w:eastAsia="zh-CN"/>
        </w:rPr>
      </w:pPr>
      <w:r>
        <w:rPr>
          <w:rFonts w:hint="eastAsia" w:ascii="宋体" w:hAnsi="宋体" w:eastAsia="宋体" w:cs="宋体"/>
          <w:snapToGrid w:val="0"/>
          <w:spacing w:val="20"/>
          <w:kern w:val="0"/>
          <w:sz w:val="44"/>
          <w:szCs w:val="44"/>
        </w:rPr>
        <w:t>项目编号：</w:t>
      </w:r>
      <w:r>
        <w:rPr>
          <w:rFonts w:hint="eastAsia" w:ascii="宋体" w:hAnsi="宋体" w:cs="宋体"/>
          <w:snapToGrid w:val="0"/>
          <w:spacing w:val="20"/>
          <w:kern w:val="0"/>
          <w:sz w:val="44"/>
          <w:szCs w:val="44"/>
          <w:lang w:eastAsia="zh-CN"/>
        </w:rPr>
        <w:t>GZGCCG-2026058</w:t>
      </w:r>
    </w:p>
    <w:p w14:paraId="755F3D5C">
      <w:pPr>
        <w:rPr>
          <w:rFonts w:hint="eastAsia" w:ascii="宋体" w:hAnsi="宋体" w:eastAsia="宋体" w:cs="宋体"/>
          <w:sz w:val="32"/>
          <w:szCs w:val="32"/>
        </w:rPr>
      </w:pPr>
    </w:p>
    <w:p w14:paraId="287CAA7D">
      <w:pPr>
        <w:ind w:firstLine="640" w:firstLineChars="200"/>
        <w:rPr>
          <w:rFonts w:hint="eastAsia" w:ascii="宋体" w:hAnsi="宋体" w:eastAsia="宋体" w:cs="宋体"/>
          <w:sz w:val="32"/>
          <w:szCs w:val="32"/>
        </w:rPr>
      </w:pPr>
    </w:p>
    <w:p w14:paraId="5A872149">
      <w:pPr>
        <w:keepNext w:val="0"/>
        <w:keepLines w:val="0"/>
        <w:pageBreakBefore w:val="0"/>
        <w:widowControl/>
        <w:kinsoku/>
        <w:wordWrap/>
        <w:overflowPunct/>
        <w:topLinePunct w:val="0"/>
        <w:autoSpaceDE/>
        <w:autoSpaceDN/>
        <w:bidi w:val="0"/>
        <w:adjustRightInd/>
        <w:spacing w:line="560" w:lineRule="exact"/>
        <w:ind w:firstLine="640" w:firstLineChars="200"/>
        <w:jc w:val="left"/>
        <w:textAlignment w:val="auto"/>
        <w:rPr>
          <w:rFonts w:hint="eastAsia" w:ascii="宋体" w:hAnsi="宋体" w:eastAsia="宋体" w:cs="宋体"/>
          <w:sz w:val="32"/>
          <w:szCs w:val="32"/>
        </w:rPr>
      </w:pPr>
    </w:p>
    <w:p w14:paraId="74A900C7">
      <w:pPr>
        <w:rPr>
          <w:rFonts w:hint="eastAsia" w:ascii="宋体" w:hAnsi="宋体" w:eastAsia="宋体" w:cs="宋体"/>
          <w:sz w:val="32"/>
          <w:szCs w:val="32"/>
        </w:rPr>
      </w:pPr>
      <w:r>
        <w:rPr>
          <w:rFonts w:hint="eastAsia" w:ascii="宋体" w:hAnsi="宋体" w:eastAsia="宋体" w:cs="宋体"/>
          <w:sz w:val="32"/>
          <w:szCs w:val="32"/>
        </w:rPr>
        <w:br w:type="page"/>
      </w:r>
    </w:p>
    <w:p w14:paraId="40910A12">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一、基本情况</w:t>
      </w:r>
    </w:p>
    <w:p w14:paraId="17C634AD">
      <w:pPr>
        <w:pStyle w:val="11"/>
        <w:keepNext w:val="0"/>
        <w:keepLines w:val="0"/>
        <w:pageBreakBefore w:val="0"/>
        <w:widowControl/>
        <w:suppressLineNumbers w:val="0"/>
        <w:kinsoku/>
        <w:wordWrap/>
        <w:overflowPunct/>
        <w:topLinePunct w:val="0"/>
        <w:autoSpaceDE/>
        <w:autoSpaceDN/>
        <w:bidi w:val="0"/>
        <w:adjustRightInd/>
        <w:spacing w:before="0" w:beforeAutospacing="0" w:after="0" w:afterAutospacing="0" w:line="360" w:lineRule="auto"/>
        <w:ind w:left="0" w:right="0" w:firstLine="0"/>
        <w:jc w:val="left"/>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 xml:space="preserve">    1、项目名称：中国人民警察大学（广州）视频会议系统及会议室音频系统采购项目</w:t>
      </w:r>
    </w:p>
    <w:p w14:paraId="557E18E1">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2、项目预算</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即最高限价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91680.00</w:t>
      </w:r>
      <w:r>
        <w:rPr>
          <w:rFonts w:hint="eastAsia" w:asciiTheme="minorEastAsia" w:hAnsiTheme="minorEastAsia" w:eastAsiaTheme="minorEastAsia" w:cstheme="minorEastAsia"/>
          <w:sz w:val="24"/>
          <w:szCs w:val="24"/>
        </w:rPr>
        <w:t>元</w:t>
      </w:r>
    </w:p>
    <w:p w14:paraId="6C7E7BA8">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color w:val="0000FF"/>
          <w:sz w:val="24"/>
          <w:szCs w:val="24"/>
          <w:lang w:val="en-US" w:eastAsia="zh-CN"/>
        </w:rPr>
      </w:pPr>
      <w:r>
        <w:rPr>
          <w:rFonts w:hint="eastAsia" w:asciiTheme="minorEastAsia" w:hAnsiTheme="minorEastAsia" w:eastAsiaTheme="minorEastAsia" w:cstheme="minorEastAsia"/>
          <w:sz w:val="24"/>
          <w:szCs w:val="24"/>
        </w:rPr>
        <w:t>3、项目编号：</w:t>
      </w:r>
      <w:r>
        <w:rPr>
          <w:rFonts w:hint="eastAsia" w:asciiTheme="minorEastAsia" w:hAnsiTheme="minorEastAsia" w:eastAsiaTheme="minorEastAsia" w:cstheme="minorEastAsia"/>
          <w:sz w:val="24"/>
          <w:szCs w:val="24"/>
          <w:lang w:eastAsia="zh-CN"/>
        </w:rPr>
        <w:t>GZGCCG-2026058</w:t>
      </w:r>
    </w:p>
    <w:p w14:paraId="10BD1616">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auto"/>
          <w:sz w:val="24"/>
          <w:szCs w:val="24"/>
        </w:rPr>
        <w:t>4、</w:t>
      </w:r>
      <w:r>
        <w:rPr>
          <w:rFonts w:hint="eastAsia" w:asciiTheme="minorEastAsia" w:hAnsiTheme="minorEastAsia" w:eastAsiaTheme="minorEastAsia" w:cstheme="minorEastAsia"/>
          <w:sz w:val="24"/>
          <w:szCs w:val="24"/>
          <w:lang w:val="en-US" w:eastAsia="zh-CN"/>
        </w:rPr>
        <w:t>交货期</w:t>
      </w:r>
      <w:r>
        <w:rPr>
          <w:rFonts w:hint="eastAsia" w:asciiTheme="minorEastAsia" w:hAnsiTheme="minorEastAsia" w:eastAsiaTheme="minorEastAsia" w:cstheme="minorEastAsia"/>
          <w:sz w:val="24"/>
          <w:szCs w:val="24"/>
        </w:rPr>
        <w:t>：</w:t>
      </w:r>
      <w:bookmarkStart w:id="0" w:name="_GoBack"/>
      <w:r>
        <w:rPr>
          <w:rFonts w:hint="eastAsia" w:asciiTheme="minorEastAsia" w:hAnsiTheme="minorEastAsia" w:eastAsiaTheme="minorEastAsia" w:cstheme="minorEastAsia"/>
          <w:sz w:val="24"/>
          <w:szCs w:val="24"/>
        </w:rPr>
        <w:t>合同签订后5个日历日到货</w:t>
      </w:r>
      <w:bookmarkEnd w:id="0"/>
    </w:p>
    <w:p w14:paraId="02B2A9CE">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、交货/服务地点：广州市天河区奥体南路399-1号</w:t>
      </w:r>
    </w:p>
    <w:p w14:paraId="0F577C60">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合同签订时间：成交人于成交通知书发出之日起30日内，按照询价通知书的要求及响应承诺与采购人联系办理政府采购合同签订、供货等事宜。</w:t>
      </w:r>
    </w:p>
    <w:p w14:paraId="2292B83F">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付款方式：货到付款</w:t>
      </w:r>
    </w:p>
    <w:p w14:paraId="6C7FA24C">
      <w:pPr>
        <w:keepNext w:val="0"/>
        <w:keepLines w:val="0"/>
        <w:pageBreakBefore w:val="0"/>
        <w:widowControl/>
        <w:kinsoku/>
        <w:wordWrap/>
        <w:overflowPunct/>
        <w:topLinePunct w:val="0"/>
        <w:autoSpaceDE/>
        <w:autoSpaceDN/>
        <w:bidi w:val="0"/>
        <w:adjustRightInd/>
        <w:snapToGrid w:val="0"/>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本项目是否接受联合体投标：否</w:t>
      </w:r>
    </w:p>
    <w:p w14:paraId="25486E2D">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二、报价文件内容</w:t>
      </w:r>
    </w:p>
    <w:p w14:paraId="1017F4F2">
      <w:pPr>
        <w:keepNext w:val="0"/>
        <w:keepLines w:val="0"/>
        <w:pageBreakBefore w:val="0"/>
        <w:widowControl/>
        <w:kinsoku/>
        <w:wordWrap/>
        <w:overflowPunct/>
        <w:topLinePunct w:val="0"/>
        <w:autoSpaceDE/>
        <w:autoSpaceDN/>
        <w:bidi w:val="0"/>
        <w:adjustRightInd/>
        <w:spacing w:line="360" w:lineRule="auto"/>
        <w:ind w:firstLine="598" w:firstLineChars="248"/>
        <w:jc w:val="left"/>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sz w:val="24"/>
          <w:szCs w:val="24"/>
        </w:rPr>
        <w:t>注：★条件必须在报价文件中做出响应否则视为无效报价</w:t>
      </w:r>
      <w:r>
        <w:rPr>
          <w:rFonts w:hint="eastAsia" w:asciiTheme="minorEastAsia" w:hAnsiTheme="minorEastAsia" w:eastAsiaTheme="minorEastAsia" w:cstheme="minorEastAsia"/>
          <w:b/>
          <w:sz w:val="24"/>
          <w:szCs w:val="24"/>
          <w:lang w:eastAsia="zh-CN"/>
        </w:rPr>
        <w:t>（</w:t>
      </w:r>
      <w:r>
        <w:rPr>
          <w:rFonts w:hint="eastAsia" w:asciiTheme="minorEastAsia" w:hAnsiTheme="minorEastAsia" w:eastAsiaTheme="minorEastAsia" w:cstheme="minorEastAsia"/>
          <w:b/>
          <w:sz w:val="24"/>
          <w:szCs w:val="24"/>
          <w:lang w:val="en-US" w:eastAsia="zh-CN"/>
        </w:rPr>
        <w:t>除附件格式外其他自拟</w:t>
      </w:r>
      <w:r>
        <w:rPr>
          <w:rFonts w:hint="eastAsia" w:asciiTheme="minorEastAsia" w:hAnsiTheme="minorEastAsia" w:eastAsiaTheme="minorEastAsia" w:cstheme="minorEastAsia"/>
          <w:b/>
          <w:sz w:val="24"/>
          <w:szCs w:val="24"/>
          <w:lang w:eastAsia="zh-CN"/>
        </w:rPr>
        <w:t>）</w:t>
      </w:r>
    </w:p>
    <w:p w14:paraId="5D1F47DC">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★1、报价</w:t>
      </w:r>
      <w:r>
        <w:rPr>
          <w:rFonts w:hint="eastAsia" w:asciiTheme="minorEastAsia" w:hAnsiTheme="minorEastAsia" w:eastAsiaTheme="minorEastAsia" w:cstheme="minorEastAsia"/>
          <w:sz w:val="24"/>
          <w:szCs w:val="24"/>
          <w:lang w:val="en-US" w:eastAsia="zh-CN"/>
        </w:rPr>
        <w:t>清单</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总</w:t>
      </w:r>
      <w:r>
        <w:rPr>
          <w:rFonts w:hint="eastAsia" w:asciiTheme="minorEastAsia" w:hAnsiTheme="minorEastAsia" w:eastAsiaTheme="minorEastAsia" w:cstheme="minorEastAsia"/>
          <w:sz w:val="24"/>
          <w:szCs w:val="24"/>
        </w:rPr>
        <w:t>报价不得超过最高限价，统一格式，加盖公章）；</w:t>
      </w:r>
    </w:p>
    <w:p w14:paraId="63FDDFD9">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★2、企业法人营业执照副本复印件（加盖公章）；</w:t>
      </w:r>
    </w:p>
    <w:p w14:paraId="31E0D636">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★3、针对本项目的服务承诺（统一格式，加盖公章）；</w:t>
      </w:r>
    </w:p>
    <w:p w14:paraId="01646ACE">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★4、报价人</w:t>
      </w:r>
      <w:r>
        <w:rPr>
          <w:rFonts w:hint="eastAsia" w:asciiTheme="minorEastAsia" w:hAnsiTheme="minorEastAsia" w:eastAsiaTheme="minorEastAsia" w:cstheme="minorEastAsia"/>
          <w:sz w:val="24"/>
          <w:szCs w:val="24"/>
          <w:lang w:val="en-US" w:eastAsia="zh-CN"/>
        </w:rPr>
        <w:t>资格声明函</w:t>
      </w:r>
      <w:r>
        <w:rPr>
          <w:rFonts w:hint="eastAsia" w:asciiTheme="minorEastAsia" w:hAnsiTheme="minorEastAsia" w:eastAsiaTheme="minorEastAsia" w:cstheme="minorEastAsia"/>
          <w:sz w:val="24"/>
          <w:szCs w:val="24"/>
        </w:rPr>
        <w:t>（统一格式，加盖公章）；</w:t>
      </w:r>
    </w:p>
    <w:p w14:paraId="058F063B">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中小企业声明函</w:t>
      </w:r>
      <w:r>
        <w:rPr>
          <w:rFonts w:hint="eastAsia" w:asciiTheme="minorEastAsia" w:hAnsiTheme="minorEastAsia" w:eastAsiaTheme="minorEastAsia" w:cstheme="minorEastAsia"/>
          <w:sz w:val="24"/>
          <w:szCs w:val="24"/>
        </w:rPr>
        <w:t>（统一格式，加盖公章）；</w:t>
      </w:r>
    </w:p>
    <w:p w14:paraId="5AFA32AC">
      <w:pPr>
        <w:keepNext w:val="0"/>
        <w:keepLines w:val="0"/>
        <w:pageBreakBefore w:val="0"/>
        <w:widowControl/>
        <w:numPr>
          <w:ilvl w:val="0"/>
          <w:numId w:val="0"/>
        </w:numPr>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kern w:val="2"/>
          <w:sz w:val="24"/>
          <w:szCs w:val="24"/>
          <w:lang w:val="en-US" w:eastAsia="zh-CN" w:bidi="ar-SA"/>
        </w:rPr>
        <w:t>6、</w:t>
      </w:r>
      <w:r>
        <w:rPr>
          <w:rFonts w:hint="eastAsia" w:asciiTheme="minorEastAsia" w:hAnsiTheme="minorEastAsia" w:eastAsiaTheme="minorEastAsia" w:cstheme="minorEastAsia"/>
          <w:sz w:val="24"/>
          <w:szCs w:val="24"/>
          <w:lang w:val="en-US" w:eastAsia="zh-CN"/>
        </w:rPr>
        <w:t>采购需求★所要求提供的证明资料</w:t>
      </w:r>
      <w:r>
        <w:rPr>
          <w:rFonts w:hint="eastAsia" w:asciiTheme="minorEastAsia" w:hAnsiTheme="minorEastAsia" w:eastAsiaTheme="minorEastAsia" w:cstheme="minorEastAsia"/>
          <w:sz w:val="24"/>
          <w:szCs w:val="24"/>
        </w:rPr>
        <w:t>（加盖公章）</w:t>
      </w:r>
      <w:r>
        <w:rPr>
          <w:rFonts w:hint="eastAsia" w:asciiTheme="minorEastAsia" w:hAnsiTheme="minorEastAsia" w:eastAsiaTheme="minorEastAsia" w:cstheme="minorEastAsia"/>
          <w:sz w:val="24"/>
          <w:szCs w:val="24"/>
          <w:lang w:val="en-US" w:eastAsia="zh-CN"/>
        </w:rPr>
        <w:t>；</w:t>
      </w:r>
    </w:p>
    <w:p w14:paraId="0AD11DB3">
      <w:pPr>
        <w:keepNext w:val="0"/>
        <w:keepLines w:val="0"/>
        <w:pageBreakBefore w:val="0"/>
        <w:widowControl/>
        <w:numPr>
          <w:ilvl w:val="0"/>
          <w:numId w:val="0"/>
        </w:numPr>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kern w:val="2"/>
          <w:sz w:val="24"/>
          <w:szCs w:val="24"/>
          <w:lang w:val="en-US" w:eastAsia="zh-CN" w:bidi="ar-SA"/>
        </w:rPr>
        <w:t>7、</w:t>
      </w:r>
      <w:r>
        <w:rPr>
          <w:rFonts w:hint="eastAsia" w:asciiTheme="minorEastAsia" w:hAnsiTheme="minorEastAsia" w:eastAsiaTheme="minorEastAsia" w:cstheme="minorEastAsia"/>
          <w:sz w:val="24"/>
          <w:szCs w:val="24"/>
        </w:rPr>
        <w:t xml:space="preserve">报价人认为有必要提供的其他相关说明或证明材料； </w:t>
      </w:r>
    </w:p>
    <w:p w14:paraId="581DDBDF">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hint="eastAsia" w:asciiTheme="minorEastAsia" w:hAnsiTheme="minorEastAsia" w:eastAsiaTheme="minorEastAsia" w:cstheme="minorEastAsia"/>
          <w:color w:val="FF0000"/>
          <w:sz w:val="24"/>
          <w:szCs w:val="24"/>
          <w:u w:val="single"/>
        </w:rPr>
      </w:pPr>
      <w:r>
        <w:rPr>
          <w:rFonts w:hint="eastAsia" w:asciiTheme="minorEastAsia" w:hAnsiTheme="minorEastAsia" w:eastAsiaTheme="minorEastAsia" w:cstheme="minorEastAsia"/>
          <w:sz w:val="24"/>
          <w:szCs w:val="24"/>
        </w:rPr>
        <w:t>三、采购需求</w:t>
      </w:r>
    </w:p>
    <w:p w14:paraId="009CB38B">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1.项目</w:t>
      </w:r>
      <w:r>
        <w:rPr>
          <w:rFonts w:hint="eastAsia" w:asciiTheme="minorEastAsia" w:hAnsiTheme="minorEastAsia" w:eastAsiaTheme="minorEastAsia" w:cstheme="minorEastAsia"/>
          <w:sz w:val="24"/>
          <w:szCs w:val="24"/>
          <w:lang w:val="en-US" w:eastAsia="zh-CN"/>
        </w:rPr>
        <w:t>主要采购</w:t>
      </w:r>
      <w:r>
        <w:rPr>
          <w:rFonts w:hint="eastAsia" w:asciiTheme="minorEastAsia" w:hAnsiTheme="minorEastAsia" w:eastAsiaTheme="minorEastAsia" w:cstheme="minorEastAsia"/>
          <w:sz w:val="24"/>
          <w:szCs w:val="24"/>
        </w:rPr>
        <w:t>：全数字会议系统主机</w:t>
      </w:r>
      <w:r>
        <w:rPr>
          <w:rFonts w:hint="eastAsia" w:asciiTheme="minorEastAsia" w:hAnsiTheme="minorEastAsia" w:eastAsiaTheme="minorEastAsia" w:cstheme="minorEastAsia"/>
          <w:sz w:val="24"/>
          <w:szCs w:val="24"/>
          <w:lang w:eastAsia="zh-CN"/>
        </w:rPr>
        <w:t>、AI会议话筒处理器、会议话筒、代表会议话筒、发射器、充电箱、集成服务（</w:t>
      </w:r>
      <w:r>
        <w:rPr>
          <w:rFonts w:hint="eastAsia" w:asciiTheme="minorEastAsia" w:hAnsiTheme="minorEastAsia" w:eastAsiaTheme="minorEastAsia" w:cstheme="minorEastAsia"/>
          <w:sz w:val="24"/>
          <w:szCs w:val="24"/>
          <w:lang w:val="en-US" w:eastAsia="zh-CN"/>
        </w:rPr>
        <w:t>具体详见采购需求文件附件</w:t>
      </w:r>
      <w:r>
        <w:rPr>
          <w:rFonts w:hint="eastAsia" w:asciiTheme="minorEastAsia" w:hAnsiTheme="minorEastAsia" w:eastAsiaTheme="minorEastAsia" w:cstheme="minorEastAsia"/>
          <w:sz w:val="24"/>
          <w:szCs w:val="24"/>
          <w:lang w:eastAsia="zh-CN"/>
        </w:rPr>
        <w:t>）</w:t>
      </w:r>
    </w:p>
    <w:p w14:paraId="687304F5">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.供应商资质要求。投标单位必须具备</w:t>
      </w:r>
      <w:r>
        <w:rPr>
          <w:rFonts w:hint="eastAsia" w:asciiTheme="minorEastAsia" w:hAnsiTheme="minorEastAsia" w:eastAsiaTheme="minorEastAsia" w:cstheme="minorEastAsia"/>
          <w:b w:val="0"/>
          <w:bCs/>
          <w:sz w:val="24"/>
          <w:szCs w:val="24"/>
          <w:lang w:eastAsia="zh-CN"/>
        </w:rPr>
        <w:t>为独立法人，营业执照有效</w:t>
      </w:r>
      <w:r>
        <w:rPr>
          <w:rFonts w:hint="eastAsia" w:asciiTheme="minorEastAsia" w:hAnsiTheme="minorEastAsia" w:eastAsiaTheme="minorEastAsia" w:cstheme="minorEastAsia"/>
          <w:b w:val="0"/>
          <w:bCs/>
          <w:sz w:val="24"/>
          <w:szCs w:val="24"/>
        </w:rPr>
        <w:t>。</w:t>
      </w:r>
    </w:p>
    <w:p w14:paraId="05CDDF20">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color w:val="7030A0"/>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.评选原则，即以何标准确定最终成交供应商。</w:t>
      </w:r>
      <w:r>
        <w:rPr>
          <w:rFonts w:hint="eastAsia" w:asciiTheme="minorEastAsia" w:hAnsiTheme="minorEastAsia" w:eastAsiaTheme="minorEastAsia" w:cstheme="minorEastAsia"/>
          <w:b/>
          <w:sz w:val="24"/>
          <w:szCs w:val="24"/>
        </w:rPr>
        <w:t>采用最低价中标法，即在满足需求各项参数、功能和服务要求的前提下，按照质量、服务相等且有效报价最低者为成交供应商。若出现同时有多家最低价相同，则通过抽签方式确定唯一成交供应商。</w:t>
      </w:r>
    </w:p>
    <w:p w14:paraId="2CA5B1AF">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四、报价说明</w:t>
      </w:r>
    </w:p>
    <w:p w14:paraId="318FA82E">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、成交标准：在满足需求各项参数、功能和服务要求的前提下，按照质量、服务相等且有效报价最低者为成交供应商。若出现同时有多家最低价相同，则通过抽签方式确定唯一成交供应商；</w:t>
      </w:r>
    </w:p>
    <w:p w14:paraId="503778B9">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、供应商报价为一次不可变更报价，包括但不限于产品、运输、税费等与项目相关一切费用。</w:t>
      </w:r>
    </w:p>
    <w:p w14:paraId="58D1CD3D">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、最低报价超出预算或不响应报价文件的供应商，即视为无效报价。</w:t>
      </w:r>
    </w:p>
    <w:p w14:paraId="3AC16058">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五、递交报价文件时间、开标时间、递交报价文件及开标地点：</w:t>
      </w:r>
    </w:p>
    <w:p w14:paraId="3A4AAF02">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1、报名时间：供应商请于2026年7月15日-2026年7月22日下午17:00前报名。</w:t>
      </w:r>
    </w:p>
    <w:p w14:paraId="19DF8BB3">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2、递交报价文件时间：供应商请于2026年7月15日-2026年7月24日上午09:30前上传电子报价文件</w:t>
      </w:r>
    </w:p>
    <w:p w14:paraId="2630D978">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3、开标时间：2026年7月24日上午09时30分；报价单位应在规定的递交截止时间前登录“广采电子招标采购平台”上传电子报价文件，报价单位应按规定时间和方式提交电子报价文件、解密。</w:t>
      </w:r>
    </w:p>
    <w:p w14:paraId="1BF8889E">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3、递交报价文件：</w:t>
      </w:r>
    </w:p>
    <w:p w14:paraId="1307BA0B">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递交方式：供应商须在“广采电子招标采购平台”注册投标人账号并根据平台提示完善投标人信息（注册详见网址：http://zbs.gzsgczb.com/）自主网上下载，下载采购需求文件及相关资料。若响应本项目，报名响应项目时需在电子招标采购平台提交平台技术服务费200.00 元，附公对公转账凭证。</w:t>
      </w:r>
    </w:p>
    <w:p w14:paraId="0578ADC9">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（2）登录“ 广采电子招标采购平台”“投标人登录”—“报名/文件下载”下载采购需求文件等资料。</w:t>
      </w:r>
    </w:p>
    <w:p w14:paraId="28C9FF16">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（3）本项目采用电子开标评审方式：①报价单位应在开标时间前，登录“广采电子招标采购平台”，将电子报价文件上传成功，并在报价文件递交截至时间前解密，否则响应无效。</w:t>
      </w:r>
    </w:p>
    <w:p w14:paraId="755565E8">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注：报价单位上传电子报价文件，应合理安排报价文件递交时间，“广采电子招标采购平台”技术支持客服电话：020-37201839。</w:t>
      </w:r>
    </w:p>
    <w:p w14:paraId="21AEFE89">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六</w:t>
      </w:r>
      <w:r>
        <w:rPr>
          <w:rFonts w:hint="eastAsia" w:asciiTheme="minorEastAsia" w:hAnsiTheme="minorEastAsia" w:eastAsiaTheme="minorEastAsia" w:cstheme="minorEastAsia"/>
          <w:sz w:val="24"/>
          <w:szCs w:val="24"/>
        </w:rPr>
        <w:t>、附件</w:t>
      </w:r>
    </w:p>
    <w:p w14:paraId="5DF4950E">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（供应商报价文件包括但不限于以下附件）</w:t>
      </w:r>
    </w:p>
    <w:p w14:paraId="5118D498">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附件一：</w:t>
      </w:r>
      <w:r>
        <w:rPr>
          <w:rFonts w:hint="eastAsia" w:asciiTheme="minorEastAsia" w:hAnsiTheme="minorEastAsia" w:eastAsiaTheme="minorEastAsia" w:cstheme="minorEastAsia"/>
          <w:sz w:val="24"/>
          <w:szCs w:val="24"/>
          <w:lang w:val="en-US" w:eastAsia="zh-CN"/>
        </w:rPr>
        <w:t>采购需求</w:t>
      </w:r>
    </w:p>
    <w:p w14:paraId="2524F004">
      <w:pPr>
        <w:keepNext w:val="0"/>
        <w:keepLines w:val="0"/>
        <w:pageBreakBefore w:val="0"/>
        <w:widowControl/>
        <w:kinsoku/>
        <w:wordWrap/>
        <w:overflowPunct/>
        <w:topLinePunct w:val="0"/>
        <w:autoSpaceDE/>
        <w:autoSpaceDN/>
        <w:bidi w:val="0"/>
        <w:adjustRightIn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附件二：</w:t>
      </w:r>
      <w:r>
        <w:rPr>
          <w:rFonts w:hint="eastAsia" w:asciiTheme="minorEastAsia" w:hAnsiTheme="minorEastAsia" w:eastAsiaTheme="minorEastAsia" w:cstheme="minorEastAsia"/>
          <w:sz w:val="24"/>
          <w:szCs w:val="24"/>
          <w:lang w:val="en-US" w:eastAsia="zh-CN"/>
        </w:rPr>
        <w:t>报价人</w:t>
      </w:r>
      <w:r>
        <w:rPr>
          <w:rFonts w:hint="eastAsia" w:asciiTheme="minorEastAsia" w:hAnsiTheme="minorEastAsia" w:eastAsiaTheme="minorEastAsia" w:cstheme="minorEastAsia"/>
          <w:sz w:val="24"/>
          <w:szCs w:val="24"/>
        </w:rPr>
        <w:t>资格声明函</w:t>
      </w:r>
    </w:p>
    <w:p w14:paraId="005558CA">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附件三：针对本项目的服务承诺书</w:t>
      </w:r>
    </w:p>
    <w:p w14:paraId="404F5625">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w:t>
      </w:r>
      <w:r>
        <w:rPr>
          <w:rFonts w:hint="eastAsia" w:asciiTheme="minorEastAsia" w:hAnsiTheme="minorEastAsia" w:eastAsiaTheme="minorEastAsia" w:cstheme="minorEastAsia"/>
          <w:sz w:val="24"/>
          <w:szCs w:val="24"/>
          <w:lang w:val="en-US" w:eastAsia="zh-CN"/>
        </w:rPr>
        <w:t>四</w:t>
      </w:r>
      <w:r>
        <w:rPr>
          <w:rFonts w:hint="eastAsia" w:asciiTheme="minorEastAsia" w:hAnsiTheme="minorEastAsia" w:eastAsiaTheme="minorEastAsia" w:cstheme="minorEastAsia"/>
          <w:sz w:val="24"/>
          <w:szCs w:val="24"/>
        </w:rPr>
        <w:t>：报价一览表</w:t>
      </w:r>
    </w:p>
    <w:p w14:paraId="0A237EA7">
      <w:pPr>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hint="default" w:eastAsiaTheme="minorEastAsia"/>
          <w:lang w:val="en-US" w:eastAsia="zh-CN"/>
        </w:rPr>
      </w:pPr>
      <w:r>
        <w:rPr>
          <w:rFonts w:hint="eastAsia" w:asciiTheme="minorEastAsia" w:hAnsiTheme="minorEastAsia" w:eastAsiaTheme="minorEastAsia" w:cstheme="minorEastAsia"/>
          <w:sz w:val="24"/>
          <w:szCs w:val="24"/>
          <w:lang w:val="en-US" w:eastAsia="zh-CN"/>
        </w:rPr>
        <w:t>附件五：中小企业声明函</w:t>
      </w:r>
    </w:p>
    <w:p w14:paraId="2802885F">
      <w:pPr>
        <w:pStyle w:val="2"/>
        <w:rPr>
          <w:rFonts w:hint="eastAsia"/>
        </w:rPr>
      </w:pPr>
    </w:p>
    <w:p w14:paraId="1E571C61">
      <w:pPr>
        <w:rPr>
          <w:rFonts w:hint="eastAsia" w:ascii="宋体" w:hAnsi="宋体" w:eastAsia="宋体" w:cs="宋体"/>
          <w:sz w:val="32"/>
          <w:szCs w:val="32"/>
        </w:rPr>
      </w:pPr>
      <w:r>
        <w:rPr>
          <w:rFonts w:hint="eastAsia" w:ascii="宋体" w:hAnsi="宋体" w:eastAsia="宋体" w:cs="宋体"/>
          <w:sz w:val="32"/>
          <w:szCs w:val="32"/>
        </w:rPr>
        <w:br w:type="page"/>
      </w:r>
    </w:p>
    <w:p w14:paraId="07CA3FB2">
      <w:pPr>
        <w:outlineLvl w:val="1"/>
        <w:rPr>
          <w:rFonts w:hint="eastAsia" w:ascii="华文中宋" w:hAnsi="华文中宋" w:eastAsia="华文中宋"/>
          <w:b/>
          <w:sz w:val="32"/>
        </w:rPr>
      </w:pPr>
      <w:r>
        <w:rPr>
          <w:rFonts w:ascii="华文中宋" w:hAnsi="华文中宋" w:eastAsia="华文中宋"/>
          <w:b/>
          <w:sz w:val="32"/>
        </w:rPr>
        <w:t>附件</w:t>
      </w:r>
      <w:r>
        <w:rPr>
          <w:rFonts w:hint="eastAsia" w:ascii="华文中宋" w:hAnsi="华文中宋" w:eastAsia="华文中宋"/>
          <w:b/>
          <w:sz w:val="32"/>
          <w:lang w:val="en-US" w:eastAsia="zh-CN"/>
        </w:rPr>
        <w:t>一</w:t>
      </w:r>
      <w:r>
        <w:rPr>
          <w:rFonts w:hint="eastAsia" w:ascii="华文中宋" w:hAnsi="华文中宋" w:eastAsia="华文中宋"/>
          <w:b/>
          <w:sz w:val="32"/>
        </w:rPr>
        <w:t>：</w:t>
      </w:r>
    </w:p>
    <w:p w14:paraId="030499DB">
      <w:pPr>
        <w:jc w:val="center"/>
        <w:outlineLvl w:val="9"/>
        <w:rPr>
          <w:rFonts w:ascii="华文中宋" w:hAnsi="华文中宋" w:eastAsia="华文中宋"/>
          <w:b/>
          <w:sz w:val="32"/>
        </w:rPr>
      </w:pPr>
      <w:r>
        <w:rPr>
          <w:rFonts w:hint="eastAsia" w:ascii="华文中宋" w:hAnsi="华文中宋" w:eastAsia="华文中宋"/>
          <w:b/>
          <w:sz w:val="32"/>
        </w:rPr>
        <w:t>采购需求</w:t>
      </w:r>
    </w:p>
    <w:p w14:paraId="41E2289E">
      <w:pPr>
        <w:numPr>
          <w:ilvl w:val="0"/>
          <w:numId w:val="0"/>
        </w:numPr>
        <w:jc w:val="both"/>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一、</w:t>
      </w:r>
      <w:r>
        <w:rPr>
          <w:rFonts w:hint="eastAsia" w:asciiTheme="minorEastAsia" w:hAnsiTheme="minorEastAsia" w:eastAsiaTheme="minorEastAsia" w:cstheme="minorEastAsia"/>
          <w:b/>
          <w:bCs/>
          <w:sz w:val="21"/>
          <w:szCs w:val="21"/>
          <w:lang w:val="en-US" w:eastAsia="zh-CN"/>
        </w:rPr>
        <w:t>响应人的资格要求</w:t>
      </w:r>
    </w:p>
    <w:p w14:paraId="24616C75">
      <w:pPr>
        <w:pStyle w:val="11"/>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425" w:leftChars="0" w:right="0" w:hanging="425" w:firstLineChars="0"/>
        <w:jc w:val="left"/>
        <w:rPr>
          <w:rFonts w:hint="eastAsia" w:asciiTheme="minorEastAsia" w:hAnsiTheme="minorEastAsia" w:eastAsiaTheme="minorEastAsia" w:cstheme="minorEastAsia"/>
          <w:b/>
          <w:bCs/>
          <w:i w:val="0"/>
          <w:iCs w:val="0"/>
          <w:caps w:val="0"/>
          <w:color w:val="333333"/>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333333"/>
          <w:spacing w:val="0"/>
          <w:sz w:val="21"/>
          <w:szCs w:val="21"/>
          <w:shd w:val="clear" w:fill="FFFFFF"/>
          <w:lang w:val="en-US" w:eastAsia="zh-CN"/>
        </w:rPr>
        <w:t>满足《中华人民共和国政府采购法》第二十二条规定。</w:t>
      </w:r>
    </w:p>
    <w:p w14:paraId="771F6938">
      <w:pPr>
        <w:pStyle w:val="11"/>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425" w:leftChars="0" w:right="0" w:hanging="425" w:firstLineChars="0"/>
        <w:jc w:val="left"/>
        <w:rPr>
          <w:rFonts w:hint="eastAsia" w:asciiTheme="minorEastAsia" w:hAnsiTheme="minorEastAsia" w:eastAsiaTheme="minorEastAsia" w:cstheme="minorEastAsia"/>
          <w:b/>
          <w:bCs/>
          <w:i w:val="0"/>
          <w:iCs w:val="0"/>
          <w:caps w:val="0"/>
          <w:color w:val="333333"/>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333333"/>
          <w:spacing w:val="0"/>
          <w:sz w:val="21"/>
          <w:szCs w:val="21"/>
          <w:shd w:val="clear" w:fill="FFFFFF"/>
          <w:lang w:val="en-US" w:eastAsia="zh-CN"/>
        </w:rPr>
        <w:t>单位负责人或法定代表人为同一人或者存在直接控股、管理关系的不同供应商，不得同时参加本项目的响应。</w:t>
      </w:r>
    </w:p>
    <w:p w14:paraId="5C25CE7E">
      <w:pPr>
        <w:pStyle w:val="11"/>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40" w:lineRule="atLeast"/>
        <w:ind w:left="425" w:leftChars="0" w:right="0" w:hanging="425" w:firstLineChars="0"/>
        <w:jc w:val="left"/>
        <w:rPr>
          <w:rFonts w:hint="eastAsia" w:asciiTheme="minorEastAsia" w:hAnsiTheme="minorEastAsia" w:eastAsiaTheme="minorEastAsia" w:cstheme="minorEastAsia"/>
          <w:b/>
          <w:bCs/>
          <w:i w:val="0"/>
          <w:iCs w:val="0"/>
          <w:caps w:val="0"/>
          <w:color w:val="333333"/>
          <w:spacing w:val="0"/>
          <w:sz w:val="21"/>
          <w:szCs w:val="21"/>
          <w:shd w:val="clear" w:fill="FFFFFF"/>
          <w:lang w:val="en-US" w:eastAsia="zh-CN"/>
        </w:rPr>
      </w:pPr>
      <w:r>
        <w:rPr>
          <w:rFonts w:hint="eastAsia" w:asciiTheme="minorEastAsia" w:hAnsiTheme="minorEastAsia" w:eastAsiaTheme="minorEastAsia" w:cstheme="minorEastAsia"/>
          <w:b/>
          <w:bCs/>
          <w:i w:val="0"/>
          <w:iCs w:val="0"/>
          <w:caps w:val="0"/>
          <w:color w:val="333333"/>
          <w:spacing w:val="0"/>
          <w:sz w:val="21"/>
          <w:szCs w:val="21"/>
          <w:shd w:val="clear" w:fill="FFFFFF"/>
          <w:lang w:val="en-US" w:eastAsia="zh-CN"/>
        </w:rPr>
        <w:t>落实政府采购政策需满足的资格要求：专门面向中小企业采购</w:t>
      </w:r>
    </w:p>
    <w:p w14:paraId="585EFACA">
      <w:pPr>
        <w:numPr>
          <w:ilvl w:val="0"/>
          <w:numId w:val="0"/>
        </w:numPr>
        <w:jc w:val="both"/>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kern w:val="2"/>
          <w:sz w:val="21"/>
          <w:szCs w:val="21"/>
          <w:lang w:val="en-US" w:eastAsia="zh-CN" w:bidi="ar-SA"/>
        </w:rPr>
        <w:t>二、</w:t>
      </w:r>
      <w:r>
        <w:rPr>
          <w:rFonts w:hint="eastAsia" w:asciiTheme="minorEastAsia" w:hAnsiTheme="minorEastAsia" w:eastAsiaTheme="minorEastAsia" w:cstheme="minorEastAsia"/>
          <w:b/>
          <w:bCs/>
          <w:sz w:val="21"/>
          <w:szCs w:val="21"/>
          <w:lang w:val="en-US" w:eastAsia="zh-CN"/>
        </w:rPr>
        <w:t>产品清单及技术要求</w:t>
      </w:r>
    </w:p>
    <w:tbl>
      <w:tblPr>
        <w:tblStyle w:val="12"/>
        <w:tblW w:w="998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7"/>
        <w:gridCol w:w="1025"/>
        <w:gridCol w:w="624"/>
        <w:gridCol w:w="632"/>
        <w:gridCol w:w="632"/>
        <w:gridCol w:w="736"/>
        <w:gridCol w:w="5868"/>
      </w:tblGrid>
      <w:tr w14:paraId="04B8C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52A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序号</w:t>
            </w:r>
          </w:p>
        </w:tc>
        <w:tc>
          <w:tcPr>
            <w:tcW w:w="102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0109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产品名称</w:t>
            </w:r>
          </w:p>
        </w:tc>
        <w:tc>
          <w:tcPr>
            <w:tcW w:w="6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EA2E7">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单位</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F0E7F">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数量</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9DBC0">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产地</w:t>
            </w:r>
          </w:p>
        </w:tc>
        <w:tc>
          <w:tcPr>
            <w:tcW w:w="7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FEB2F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原装正品要求</w:t>
            </w:r>
          </w:p>
        </w:tc>
        <w:tc>
          <w:tcPr>
            <w:tcW w:w="586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C6A7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技术要求</w:t>
            </w:r>
          </w:p>
        </w:tc>
      </w:tr>
      <w:tr w14:paraId="7A353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E29BA">
            <w:pPr>
              <w:jc w:val="center"/>
              <w:rPr>
                <w:rFonts w:hint="eastAsia" w:asciiTheme="minorEastAsia" w:hAnsiTheme="minorEastAsia" w:eastAsiaTheme="minorEastAsia" w:cstheme="minorEastAsia"/>
                <w:b/>
                <w:bCs/>
                <w:i w:val="0"/>
                <w:iCs w:val="0"/>
                <w:color w:val="000000"/>
                <w:sz w:val="21"/>
                <w:szCs w:val="21"/>
                <w:u w:val="none"/>
              </w:rPr>
            </w:pPr>
          </w:p>
        </w:tc>
        <w:tc>
          <w:tcPr>
            <w:tcW w:w="102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3CFC4">
            <w:pPr>
              <w:jc w:val="center"/>
              <w:rPr>
                <w:rFonts w:hint="eastAsia" w:asciiTheme="minorEastAsia" w:hAnsiTheme="minorEastAsia" w:eastAsiaTheme="minorEastAsia" w:cstheme="minorEastAsia"/>
                <w:b/>
                <w:bCs/>
                <w:i w:val="0"/>
                <w:iCs w:val="0"/>
                <w:color w:val="000000"/>
                <w:sz w:val="21"/>
                <w:szCs w:val="21"/>
                <w:u w:val="none"/>
              </w:rPr>
            </w:pPr>
          </w:p>
        </w:tc>
        <w:tc>
          <w:tcPr>
            <w:tcW w:w="6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9FE5C">
            <w:pPr>
              <w:jc w:val="center"/>
              <w:rPr>
                <w:rFonts w:hint="eastAsia" w:asciiTheme="minorEastAsia" w:hAnsiTheme="minorEastAsia" w:eastAsiaTheme="minorEastAsia" w:cstheme="minorEastAsia"/>
                <w:b/>
                <w:bCs/>
                <w:i w:val="0"/>
                <w:iCs w:val="0"/>
                <w:color w:val="000000"/>
                <w:sz w:val="21"/>
                <w:szCs w:val="21"/>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D8564">
            <w:pPr>
              <w:jc w:val="center"/>
              <w:rPr>
                <w:rFonts w:hint="eastAsia" w:asciiTheme="minorEastAsia" w:hAnsiTheme="minorEastAsia" w:eastAsiaTheme="minorEastAsia" w:cstheme="minorEastAsia"/>
                <w:b/>
                <w:bCs/>
                <w:i w:val="0"/>
                <w:iCs w:val="0"/>
                <w:color w:val="000000"/>
                <w:sz w:val="21"/>
                <w:szCs w:val="21"/>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AB89A">
            <w:pPr>
              <w:jc w:val="center"/>
              <w:rPr>
                <w:rFonts w:hint="eastAsia" w:asciiTheme="minorEastAsia" w:hAnsiTheme="minorEastAsia" w:eastAsiaTheme="minorEastAsia" w:cstheme="minorEastAsia"/>
                <w:b/>
                <w:bCs/>
                <w:i w:val="0"/>
                <w:iCs w:val="0"/>
                <w:color w:val="000000"/>
                <w:sz w:val="21"/>
                <w:szCs w:val="21"/>
                <w:u w:val="none"/>
              </w:rPr>
            </w:pPr>
          </w:p>
        </w:tc>
        <w:tc>
          <w:tcPr>
            <w:tcW w:w="7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93346">
            <w:pPr>
              <w:jc w:val="center"/>
              <w:rPr>
                <w:rFonts w:hint="eastAsia" w:asciiTheme="minorEastAsia" w:hAnsiTheme="minorEastAsia" w:eastAsiaTheme="minorEastAsia" w:cstheme="minorEastAsia"/>
                <w:b/>
                <w:bCs/>
                <w:i w:val="0"/>
                <w:iCs w:val="0"/>
                <w:color w:val="000000"/>
                <w:sz w:val="21"/>
                <w:szCs w:val="21"/>
                <w:u w:val="none"/>
              </w:rPr>
            </w:pPr>
          </w:p>
        </w:tc>
        <w:tc>
          <w:tcPr>
            <w:tcW w:w="58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4A1CD">
            <w:pPr>
              <w:jc w:val="center"/>
              <w:rPr>
                <w:rFonts w:hint="eastAsia" w:asciiTheme="minorEastAsia" w:hAnsiTheme="minorEastAsia" w:eastAsiaTheme="minorEastAsia" w:cstheme="minorEastAsia"/>
                <w:b/>
                <w:bCs/>
                <w:i w:val="0"/>
                <w:iCs w:val="0"/>
                <w:color w:val="000000"/>
                <w:sz w:val="21"/>
                <w:szCs w:val="21"/>
                <w:u w:val="none"/>
              </w:rPr>
            </w:pPr>
          </w:p>
        </w:tc>
      </w:tr>
      <w:tr w14:paraId="30235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8" w:hRule="atLeast"/>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825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0B52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全数字会议系统主机</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560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78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632" w:type="dxa"/>
            <w:tcBorders>
              <w:top w:val="single" w:color="000000" w:sz="4" w:space="0"/>
              <w:left w:val="nil"/>
              <w:bottom w:val="single" w:color="000000" w:sz="4" w:space="0"/>
              <w:right w:val="single" w:color="000000" w:sz="4" w:space="0"/>
            </w:tcBorders>
            <w:shd w:val="clear" w:color="auto" w:fill="auto"/>
            <w:vAlign w:val="center"/>
          </w:tcPr>
          <w:p w14:paraId="7ECA48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中国</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3DDDD5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是</w:t>
            </w:r>
          </w:p>
        </w:tc>
        <w:tc>
          <w:tcPr>
            <w:tcW w:w="5868" w:type="dxa"/>
            <w:tcBorders>
              <w:top w:val="single" w:color="000000" w:sz="4" w:space="0"/>
              <w:left w:val="nil"/>
              <w:bottom w:val="single" w:color="000000" w:sz="4" w:space="0"/>
              <w:right w:val="single" w:color="000000" w:sz="4" w:space="0"/>
            </w:tcBorders>
            <w:shd w:val="clear" w:color="auto" w:fill="auto"/>
            <w:vAlign w:val="center"/>
          </w:tcPr>
          <w:p w14:paraId="71BA990C">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支持管理有线会议单元和无线会议单元，软件配置中，有线单元数量可达≥4096台，无线单元可达≥300台。系统可对会议单元进行控制，具有会议议程的签到、表决、服务的功能及发言控制功能，接入的会议单元可参与会议议程。</w:t>
            </w:r>
          </w:p>
          <w:p w14:paraId="57E65DB6">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★2.主机兼容同时连接有线与无线会议单元，二者可并行使用；采用跨域音频同步技术，有线与无线会议单元音频的音频无缝混音输出。</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71097F43">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★3.设备采用分段压缩混音处理技术和时钟同步传输技术，会议单元拾音到主机输出延时≤5ms。</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58B9F7C9">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设备具有≥1个USB接口；后面板具有≥2路RS-232接口、≥1路RS-485接口、≥4路RJ45通讯接口；具有≥1路RCA输入、≥1路卡侬输入、≥2路凤凰端子输入接口；≥1路RCA输出、≥1路卡侬输出、≥16路凤凰端子输出接口；≥1个拨码开关、≥1个接地柱。</w:t>
            </w:r>
          </w:p>
          <w:p w14:paraId="3841839E">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前面板具有≥5个状态指示灯，可显示有线无线会议单元使用状态；其中≥4个有线会议发言单元通讯指示灯，有线会议单元正常通讯使用为闪烁状态；其中≥1个为无线会议发言单元通讯指示灯，接上无线收发器正常使用进入闪烁状态；未接入设备时不亮，可快速检测链路使用状态。</w:t>
            </w:r>
          </w:p>
          <w:p w14:paraId="52636344">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具有≥16路音频输出通道，通过扩展可实现≥272个音频输出通道，音频输出通道可配置为有线角色分离输出模式、无线角色分离输出模式、同传输出模式；每个音频输出通道都能独立调节音频参数，包括≥30级音量调节、≥10段均衡器调节、≥100级延时器调节功能。</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615ADDFA">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7.主机具有≥16通道音频分组输出接口；采用会议分区相控技术，可拆分≥16个独立的会议系统使用，也可以组成一个大型的会议系统使用，实现多种方式的会议室合并/拆分。</w:t>
            </w:r>
          </w:p>
          <w:p w14:paraId="7A97D6B8">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8.支持主机U盘和客户端软件两种录音方式；搭配会议单元和采集器可以录制单个会议单元发言音频和录制所有会议单元混音发言音频。</w:t>
            </w:r>
          </w:p>
          <w:p w14:paraId="576F8F89">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具有C/S、B/S管控架构，包括客户端、WEB端、本机全彩触摸屏、安卓手机/平板控制方式；通过客户端、WEB端可调节音频矩阵参数（包括EQ、音量、延时器、会议单元灵敏度）、≥16通道输出模式切换、开关会议单元、控制会议系统角色分离主机功能；使用本机全彩触摸屏可调节会议模式、有线/无线会议单元开麦数量、编ID、主机/从机设置、显示亮度/输出音量调节、显示剩余使用天数、输入注册码进行主机注册功能；使用安卓手机/平板可控制会议单元开关、开启签到、投票表决、接收会议服务信息、一键关闭无线会议单元功能。</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62521657">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★10.支持在WEB管理端切换个性化主题风格功能，可切换≥4种风格，可选红色、蓝色、绿色、紫色主题，不同主题提供不同 UI 界面背景颜色。（提供功能界面截图佐证）（提供第三方检测机构出具的具有CNAS标志的检测报告扫描件或复印件）</w:t>
            </w:r>
          </w:p>
          <w:p w14:paraId="5466E6E5">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系统支持≥24台会议单元同时发言，其中支持≥16台有线会议单元和≥8台无线会议单元同时发言；具有自定义会议单元发言人数功能，有线会议单元发言人数范围可设置为1至16之间；无线会议单元发言人数范围可设置为1至8之间。</w:t>
            </w:r>
          </w:p>
          <w:p w14:paraId="0A25BF3D">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具有≥3种备份机制；支持主机双机热备功能，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保障会议正常进行。</w:t>
            </w:r>
          </w:p>
          <w:p w14:paraId="4E7C8A84">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13.采用会议系统多环路检测及网络补给技术，实现会议单元手拉手链路出现故障时快速恢复，环路恢复时间≤5ms。</w:t>
            </w:r>
          </w:p>
          <w:p w14:paraId="43E62550">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14.客户端、WEB端软件可运行于windows操作系统或国产操作系统或macOS系统或Ubuntu桌面版操作系统。</w:t>
            </w:r>
          </w:p>
          <w:p w14:paraId="2DEDA8B0">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支持搭配会议话筒处理器使用，主机与话筒处理器之间通过网线连接方式传输音频，可以同时传输≥16路有线会议单元和≥8路无线会议单元发言的音频信号，并提供反馈抑制、智能混音以及自动增益音频调节处理功能。</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14882BD2">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融入音频综合管理平台实现音频设备统一管理，平台可手动添加全数字会议系统主机、音频处理器、混音器、反馈抑制器、功放类产品并查看在线情况；同款产品多台在线设备可手动添加，并显示设备硬件名称、硬件IP地址、在线、离线状态信息；具备一键上传配置信息至云端或保存本地进行备份功能和一键还原配置信息功能。</w:t>
            </w:r>
            <w:r>
              <w:rPr>
                <w:rFonts w:hint="eastAsia" w:asciiTheme="minorEastAsia" w:hAnsiTheme="minorEastAsia" w:eastAsiaTheme="minorEastAsia" w:cstheme="minorEastAsia"/>
                <w:b/>
                <w:bCs/>
                <w:sz w:val="21"/>
                <w:szCs w:val="21"/>
              </w:rPr>
              <w:t>（提供功能界面截图佐证）</w:t>
            </w:r>
          </w:p>
          <w:p w14:paraId="6CE94DAE">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内含会议智慧管理软件：</w:t>
            </w:r>
          </w:p>
          <w:p w14:paraId="4D019232">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平台集成全数字会议系统软件模块、电子桌牌软件模块、反馈抑制器软件模块、智能混音器软件模块、数字音频处理器软件模块、数字专业功放软件模块、智能充电管理软件模块、数字调音台控制软件模块、音频矩阵管理软件模块、FIR音箱处理器软件模块、网络PDU管理系统模块，各模块打开呈现在状态栏窗口，可快速管理和调用，并具备自动检测音频处理器、智能混音器、反馈抑制器、数字功放、FIR音箱处理器、充电底座、数字调音台设备硬件版本、软件版本功能；检测到有新版本时提供更新提示，可对硬件进行升级。</w:t>
            </w:r>
            <w:r>
              <w:rPr>
                <w:rFonts w:hint="eastAsia" w:asciiTheme="minorEastAsia" w:hAnsiTheme="minorEastAsia" w:eastAsiaTheme="minorEastAsia" w:cstheme="minorEastAsia"/>
                <w:b/>
                <w:bCs/>
                <w:sz w:val="21"/>
                <w:szCs w:val="21"/>
              </w:rPr>
              <w:t>（提供功能界面截图佐证）</w:t>
            </w:r>
          </w:p>
          <w:p w14:paraId="2185F8B8">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支持通过平台扫描并管理设备（包括电子桌牌、音频处理器、智能混音器、反馈抑制器、数字功放、FIR音箱处理器、充电底座、数字调音台）的功能，支持手动添加（包括全数字会议系统主机、国产会议主机、PDU电源时序器）设备，在平台查看设备硬件名称、硬件IP地址、在线、离线状态信息；可针对不同硬件类型选择适用软件版本，并直接下载或打开。</w:t>
            </w:r>
            <w:r>
              <w:rPr>
                <w:rFonts w:hint="eastAsia" w:asciiTheme="minorEastAsia" w:hAnsiTheme="minorEastAsia" w:eastAsiaTheme="minorEastAsia" w:cstheme="minorEastAsia"/>
                <w:b/>
                <w:bCs/>
                <w:sz w:val="21"/>
                <w:szCs w:val="21"/>
              </w:rPr>
              <w:t>（提供功能界面截图佐证）</w:t>
            </w:r>
          </w:p>
          <w:p w14:paraId="35E7F586">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平台具有应用列表，通过平台可下载全数字会议系统软件模块、电子桌牌软件模块、反馈抑制器软件模块、智能混音器软件模块、数字音频处理器软件模块、数字专业功放软件模块、智能充电管理软件模块、数字调音台控制软件模块、音频矩阵管理软件模块、FIR音箱处理器软件模块、网络PDU管理系统模块，下载后在主界面实时显示，可选择打开应用、卸载应用，应用上移、下移功能。</w:t>
            </w:r>
            <w:r>
              <w:rPr>
                <w:rFonts w:hint="eastAsia" w:asciiTheme="minorEastAsia" w:hAnsiTheme="minorEastAsia" w:eastAsiaTheme="minorEastAsia" w:cstheme="minorEastAsia"/>
                <w:b/>
                <w:bCs/>
                <w:sz w:val="21"/>
                <w:szCs w:val="21"/>
              </w:rPr>
              <w:t>（提供功能界面截图佐证）</w:t>
            </w:r>
          </w:p>
          <w:p w14:paraId="567EFE59">
            <w:pP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sz w:val="21"/>
                <w:szCs w:val="21"/>
              </w:rPr>
              <w:t>★4.平台具有AI助手，联网后支持通过智能问答与快捷指令协助用户操作，能够基于语义理解识别用户意图，并完成平台内子软件的打开、关闭、下载、跳转指令执行；内置产品知识库，可通过AI助手查询产品功能、修改IP地址指引、音频处理功能说明、设备应用解答信息；支持上下文理解与多轮对话，内置可扩展的常用操作指令模板，并支持生成系统运行报告；平台可对接大模型，为用户提供实时智能问答，用户在交互界面输入问题后，AI助手生成的结果将显示在专用回答框内。</w:t>
            </w:r>
            <w:r>
              <w:rPr>
                <w:rFonts w:hint="eastAsia" w:asciiTheme="minorEastAsia" w:hAnsiTheme="minorEastAsia" w:eastAsiaTheme="minorEastAsia" w:cstheme="minorEastAsia"/>
                <w:b/>
                <w:bCs/>
                <w:sz w:val="21"/>
                <w:szCs w:val="21"/>
              </w:rPr>
              <w:t>（提供功能界面截图佐证）</w:t>
            </w:r>
          </w:p>
        </w:tc>
      </w:tr>
      <w:tr w14:paraId="5D324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996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F5B0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AI会议话筒处理器</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FD2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684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632" w:type="dxa"/>
            <w:tcBorders>
              <w:top w:val="single" w:color="000000" w:sz="4" w:space="0"/>
              <w:left w:val="nil"/>
              <w:bottom w:val="single" w:color="000000" w:sz="4" w:space="0"/>
              <w:right w:val="single" w:color="000000" w:sz="4" w:space="0"/>
            </w:tcBorders>
            <w:shd w:val="clear" w:color="auto" w:fill="auto"/>
            <w:vAlign w:val="center"/>
          </w:tcPr>
          <w:p w14:paraId="6FA3388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中国</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06FC58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是</w:t>
            </w:r>
          </w:p>
        </w:tc>
        <w:tc>
          <w:tcPr>
            <w:tcW w:w="5868" w:type="dxa"/>
            <w:tcBorders>
              <w:top w:val="single" w:color="000000" w:sz="4" w:space="0"/>
              <w:left w:val="nil"/>
              <w:bottom w:val="single" w:color="000000" w:sz="4" w:space="0"/>
              <w:right w:val="single" w:color="000000" w:sz="4" w:space="0"/>
            </w:tcBorders>
            <w:shd w:val="clear" w:color="auto" w:fill="auto"/>
            <w:vAlign w:val="center"/>
          </w:tcPr>
          <w:p w14:paraId="58A5639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具有智能混音、语音检测功能，可以实现≥16个有线会议单元+≥8个无线会议单元同时开启并实时检测会议单元dB值；当发言人讲话时，会议单元自动调整为发言状态，并联动摄像机自动跟踪发言人；当发言人停止讲话时，会议单元自动调整为静音状态，并联动摄像机自动切换到全景画面。</w:t>
            </w:r>
          </w:p>
          <w:p w14:paraId="5671243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★2.可对接摄像机实现摄像跟踪功能；内置≥64个话筒预置位，满足大型会议室摄像跟踪需求。</w:t>
            </w:r>
            <w:r>
              <w:rPr>
                <w:rFonts w:hint="eastAsia" w:asciiTheme="minorEastAsia" w:hAnsiTheme="minorEastAsia" w:eastAsiaTheme="minorEastAsia" w:cstheme="minorEastAsia"/>
                <w:b/>
                <w:bCs/>
                <w:i w:val="0"/>
                <w:iCs w:val="0"/>
                <w:color w:val="000000"/>
                <w:sz w:val="21"/>
                <w:szCs w:val="21"/>
                <w:u w:val="none"/>
              </w:rPr>
              <w:t>（提供第三方检测机构出具的具有CNAS标志的检测报告扫描件或复印件）</w:t>
            </w:r>
          </w:p>
          <w:p w14:paraId="0A650D4C">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★3.后面板具有≥1个船形开关、≥4个RJ45、≥1个RS485、≥2个RS232、≥1个TYPE-C接口、≥1个拨码开关、≥1路卡侬输出接口和≥2路RCA输出接口；前面板具有≥1个AFC电容触摸开关；≥4个状态指示灯（包括≥1个AFC 功能状态指示灯、≥1个音频信号灯、≥1个处理器工作状态指示灯、≥1个工作电源指示灯）。</w:t>
            </w:r>
            <w:r>
              <w:rPr>
                <w:rFonts w:hint="eastAsia" w:asciiTheme="minorEastAsia" w:hAnsiTheme="minorEastAsia" w:eastAsiaTheme="minorEastAsia" w:cstheme="minorEastAsia"/>
                <w:b/>
                <w:bCs/>
                <w:i w:val="0"/>
                <w:iCs w:val="0"/>
                <w:color w:val="000000"/>
                <w:sz w:val="21"/>
                <w:szCs w:val="21"/>
                <w:u w:val="none"/>
              </w:rPr>
              <w:t>（提供设备接口图佐证）（提供第三方检测机构出具的具有CNAS标志的检测报告扫描件或复印件）</w:t>
            </w:r>
          </w:p>
          <w:p w14:paraId="2FD27FC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4.处理器与数字会议主机通过网络传输链路传输会议单元音频信号，只需要通过网线即可以接收数字会议单元音频信号，并提供自动增益、自动混音、AFC反馈抑制（≥24个可编程陷波点）、EQ调节（≥31段图示均衡器调节）音频处理功能。</w:t>
            </w:r>
            <w:r>
              <w:rPr>
                <w:rFonts w:hint="eastAsia" w:asciiTheme="minorEastAsia" w:hAnsiTheme="minorEastAsia" w:eastAsiaTheme="minorEastAsia" w:cstheme="minorEastAsia"/>
                <w:b/>
                <w:bCs/>
                <w:i w:val="0"/>
                <w:iCs w:val="0"/>
                <w:color w:val="000000"/>
                <w:sz w:val="21"/>
                <w:szCs w:val="21"/>
                <w:u w:val="none"/>
              </w:rPr>
              <w:t>（提供第三方检测机构出具的具有CNAS标志的检测报告扫描件或复印件）</w:t>
            </w:r>
          </w:p>
          <w:p w14:paraId="2528F36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★5.采用啸叫检测门限更新法，移频+陷波组合反馈抑制方式，具有≥24个可编程陷波点，可自由分配动态/静态点，自动/手动切换。</w:t>
            </w:r>
            <w:r>
              <w:rPr>
                <w:rFonts w:hint="eastAsia" w:asciiTheme="minorEastAsia" w:hAnsiTheme="minorEastAsia" w:eastAsiaTheme="minorEastAsia" w:cstheme="minorEastAsia"/>
                <w:b/>
                <w:bCs/>
                <w:i w:val="0"/>
                <w:iCs w:val="0"/>
                <w:color w:val="000000"/>
                <w:sz w:val="21"/>
                <w:szCs w:val="21"/>
                <w:u w:val="none"/>
              </w:rPr>
              <w:t>（提供第三方检测机构出具的具有CNAS标志的检测报告扫描件或复印件）</w:t>
            </w:r>
          </w:p>
          <w:p w14:paraId="749353FF">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6.产品软件与数字会议主机软件集成，可以实现使用同一软件配置数字会议主机和会议话筒处理器；支持搭配音频综合管理平台集中管控各种音频设备，包含数字会议系统软件模块、电子桌牌软件模块、反馈抑制器软件模块、智能混音器软件模块、数字音频处理器软件模块、智控数字专业功放软件模块，各模块打开呈现在状态栏窗口，可快速管理和调用。</w:t>
            </w:r>
            <w:r>
              <w:rPr>
                <w:rFonts w:hint="eastAsia" w:asciiTheme="minorEastAsia" w:hAnsiTheme="minorEastAsia" w:eastAsiaTheme="minorEastAsia" w:cstheme="minorEastAsia"/>
                <w:b/>
                <w:bCs/>
                <w:i w:val="0"/>
                <w:iCs w:val="0"/>
                <w:color w:val="000000"/>
                <w:sz w:val="21"/>
                <w:szCs w:val="21"/>
                <w:u w:val="none"/>
              </w:rPr>
              <w:t>（提供功能界面截图佐证）</w:t>
            </w:r>
          </w:p>
        </w:tc>
      </w:tr>
      <w:tr w14:paraId="02A35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42F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D3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会议话筒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096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9B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632" w:type="dxa"/>
            <w:tcBorders>
              <w:top w:val="single" w:color="000000" w:sz="4" w:space="0"/>
              <w:left w:val="nil"/>
              <w:bottom w:val="single" w:color="000000" w:sz="4" w:space="0"/>
              <w:right w:val="single" w:color="000000" w:sz="4" w:space="0"/>
            </w:tcBorders>
            <w:shd w:val="clear" w:color="auto" w:fill="auto"/>
            <w:vAlign w:val="center"/>
          </w:tcPr>
          <w:p w14:paraId="2436294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中国</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012C45F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是</w:t>
            </w:r>
          </w:p>
        </w:tc>
        <w:tc>
          <w:tcPr>
            <w:tcW w:w="5868" w:type="dxa"/>
            <w:tcBorders>
              <w:top w:val="single" w:color="000000" w:sz="4" w:space="0"/>
              <w:left w:val="nil"/>
              <w:bottom w:val="single" w:color="000000" w:sz="4" w:space="0"/>
              <w:right w:val="single" w:color="000000" w:sz="4" w:space="0"/>
            </w:tcBorders>
            <w:shd w:val="clear" w:color="auto" w:fill="auto"/>
            <w:vAlign w:val="center"/>
          </w:tcPr>
          <w:p w14:paraId="0C33923C">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1.话筒采用≥48kHz采样率。</w:t>
            </w:r>
          </w:p>
          <w:p w14:paraId="7358BFF1">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2.采用芯片架构及算法，话筒开机连接时间≤5秒。</w:t>
            </w:r>
          </w:p>
          <w:p w14:paraId="64F8FB80">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★3.具有智能检测故障功能，提示用户AP故障、主机通信故障、信号强度过低等情况。</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0B294B8E">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4.支持通过Type-C口充电，支持≥18W快充，具有智能指标状态。</w:t>
            </w:r>
          </w:p>
          <w:p w14:paraId="588E93F5">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5.可通过UI设置SSID。</w:t>
            </w:r>
          </w:p>
          <w:p w14:paraId="2EC04C2F">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6.具有中英文切换显示功能，通过PC软件统一设置。</w:t>
            </w:r>
          </w:p>
          <w:p w14:paraId="393B0F78">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★7.具有发言计时和定时发言功能。</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0B367A4D">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★8.具有声控功能。通过软件调节声控灵敏度及设置关闭时间。</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67DA8476">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9.支持签到功能，通过PC软件设置并发起。</w:t>
            </w:r>
          </w:p>
          <w:p w14:paraId="458EB277">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10.支持会议投票功能、支持五键选举、三键表决功能。</w:t>
            </w:r>
          </w:p>
          <w:p w14:paraId="3CD8F7C5">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★11.采用≥128位AES加密技术，支持 WPA/WPA2 无线安全技术。</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1FA32F8E">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12.主席具备优先权功能，可关闭正在发言的所有代表话筒。</w:t>
            </w:r>
          </w:p>
          <w:p w14:paraId="588C8AF7">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★13.采用全彩触屏，咪杆长度≤240mm。</w:t>
            </w:r>
            <w:r>
              <w:rPr>
                <w:rFonts w:hint="eastAsia" w:asciiTheme="minorEastAsia" w:hAnsiTheme="minorEastAsia" w:eastAsiaTheme="minorEastAsia" w:cstheme="minorEastAsia"/>
                <w:b/>
                <w:bCs/>
                <w:sz w:val="21"/>
                <w:szCs w:val="21"/>
              </w:rPr>
              <w:t>（提供第三方检测机构出具的具有CNAS标志的检测报告扫描件或复印件）</w:t>
            </w:r>
          </w:p>
          <w:p w14:paraId="2AD9D163">
            <w:pP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14.具备≥3.5mm耳机孔，可连接外置麦克风。</w:t>
            </w:r>
          </w:p>
          <w:p w14:paraId="4ECA73D1">
            <w:pP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sz w:val="21"/>
                <w:szCs w:val="21"/>
              </w:rPr>
              <w:t>15.内置锂电池，电池容量支持≥14小时持续发言。</w:t>
            </w:r>
          </w:p>
        </w:tc>
      </w:tr>
      <w:tr w14:paraId="0879F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6" w:hRule="atLeast"/>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9D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E1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代表会议话筒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9BC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C9C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14</w:t>
            </w:r>
          </w:p>
        </w:tc>
        <w:tc>
          <w:tcPr>
            <w:tcW w:w="632" w:type="dxa"/>
            <w:tcBorders>
              <w:top w:val="single" w:color="000000" w:sz="4" w:space="0"/>
              <w:left w:val="nil"/>
              <w:bottom w:val="single" w:color="000000" w:sz="4" w:space="0"/>
              <w:right w:val="single" w:color="000000" w:sz="4" w:space="0"/>
            </w:tcBorders>
            <w:shd w:val="clear" w:color="auto" w:fill="auto"/>
            <w:vAlign w:val="center"/>
          </w:tcPr>
          <w:p w14:paraId="44BFFBD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中国</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4ADC9F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是</w:t>
            </w:r>
          </w:p>
        </w:tc>
        <w:tc>
          <w:tcPr>
            <w:tcW w:w="5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29B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1.话筒采用≥48kHz采样率。</w:t>
            </w:r>
          </w:p>
          <w:p w14:paraId="6A5E906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2.采用芯片架构及算法，话筒开机连接时间≤5秒。</w:t>
            </w:r>
          </w:p>
          <w:p w14:paraId="745985E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★3.具有智能检测故障功能，提示用户AP故障、主机通信故障、信号强度过低等情况。</w:t>
            </w:r>
            <w:r>
              <w:rPr>
                <w:rFonts w:hint="eastAsia" w:asciiTheme="minorEastAsia" w:hAnsiTheme="minorEastAsia" w:eastAsiaTheme="minorEastAsia" w:cstheme="minorEastAsia"/>
                <w:b/>
                <w:bCs/>
                <w:i w:val="0"/>
                <w:iCs w:val="0"/>
                <w:color w:val="000000"/>
                <w:sz w:val="21"/>
                <w:szCs w:val="21"/>
                <w:u w:val="none"/>
              </w:rPr>
              <w:t>（提供功能界面截图佐证）（提供第三方检测机构出具的具有CNAS标志的检测报告扫描件或复印件）</w:t>
            </w:r>
          </w:p>
          <w:p w14:paraId="4CDE1E2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4.支持通过Type-C口充电，支持≥18W快充，具有智能指标状态。</w:t>
            </w:r>
          </w:p>
          <w:p w14:paraId="6298C59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5.可通过UI设置SSID。</w:t>
            </w:r>
          </w:p>
          <w:p w14:paraId="2137026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6.具有中英文切换显示功能，通过PC软件统一设置。</w:t>
            </w:r>
          </w:p>
          <w:p w14:paraId="7C7D6FB8">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7.具有发言计时和定时发言功能。</w:t>
            </w:r>
          </w:p>
          <w:p w14:paraId="4599AAD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8.具有声控功能。通过软件调节声控灵敏度及设置关闭时间。</w:t>
            </w:r>
          </w:p>
          <w:p w14:paraId="56D0DF4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9.支持签到功能，通过PC软件设置并发起。</w:t>
            </w:r>
          </w:p>
          <w:p w14:paraId="658BEF3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10.支持会议投票功能、支持五键选举、三键表决功能。</w:t>
            </w:r>
          </w:p>
          <w:p w14:paraId="2C3B3AB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11.采用≥128位AES加密技术，支持 WPA/WPA2 无线安全技术。</w:t>
            </w:r>
          </w:p>
          <w:p w14:paraId="4570BF4E">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12.代表机具有申请发言功能，通过主席机批准申请人发言。</w:t>
            </w:r>
          </w:p>
          <w:p w14:paraId="5E4E264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13.采用全彩触屏，咪杆长度≤240mm。</w:t>
            </w:r>
          </w:p>
          <w:p w14:paraId="73F5AF3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14.具备≥3.5mm耳机孔，可连接外置麦克风。</w:t>
            </w:r>
          </w:p>
          <w:p w14:paraId="03EAD7E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sz w:val="21"/>
                <w:szCs w:val="21"/>
                <w:u w:val="none"/>
              </w:rPr>
              <w:t>15.内置锂电池，电池容量支持≥14小时持续发言。</w:t>
            </w:r>
          </w:p>
        </w:tc>
      </w:tr>
      <w:tr w14:paraId="3F813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1511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5D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发射器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61A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B7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632" w:type="dxa"/>
            <w:tcBorders>
              <w:top w:val="single" w:color="000000" w:sz="4" w:space="0"/>
              <w:left w:val="nil"/>
              <w:bottom w:val="single" w:color="000000" w:sz="4" w:space="0"/>
              <w:right w:val="single" w:color="000000" w:sz="4" w:space="0"/>
            </w:tcBorders>
            <w:shd w:val="clear" w:color="auto" w:fill="auto"/>
            <w:vAlign w:val="center"/>
          </w:tcPr>
          <w:p w14:paraId="068B1A0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中国</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455A98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是</w:t>
            </w:r>
          </w:p>
        </w:tc>
        <w:tc>
          <w:tcPr>
            <w:tcW w:w="5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159A">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★1.遵从Wi-Fi 6协议标准（IEEE 802.11ax），向下兼容802.11a/b/g/n/ac/Wave2，支持MU-MIMO，允许AP同时接收多个终端发送数据，整机最大传输速率可达1.601Gbps</w:t>
            </w:r>
            <w:r>
              <w:rPr>
                <w:rFonts w:hint="eastAsia" w:asciiTheme="minorEastAsia" w:hAnsiTheme="minorEastAsia" w:eastAsiaTheme="minorEastAsia" w:cstheme="minorEastAsia"/>
                <w:b/>
                <w:bCs/>
                <w:i w:val="0"/>
                <w:iCs w:val="0"/>
                <w:color w:val="000000"/>
                <w:kern w:val="0"/>
                <w:sz w:val="21"/>
                <w:szCs w:val="21"/>
                <w:u w:val="none"/>
                <w:lang w:val="en-US" w:eastAsia="zh-CN" w:bidi="ar"/>
              </w:rPr>
              <w:t>（提供第三方检测机构出具的具有CNAS标志的检测报告扫描件或复印件）</w:t>
            </w:r>
          </w:p>
          <w:p w14:paraId="646788E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2.支持OFDMA空间复用技术和1024QAM调制解调算法。</w:t>
            </w:r>
          </w:p>
          <w:p w14:paraId="1DA829C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3.支持中文SSID，可指定最长包含≥31个字符的SSID，也可以使用中英文混合的SSID</w:t>
            </w:r>
          </w:p>
          <w:p w14:paraId="149FC6FD">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4.支持WPA3安全协议。</w:t>
            </w:r>
          </w:p>
          <w:p w14:paraId="3F5BDE8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5.支持等同或优于80/160MHz的高带宽频段。</w:t>
            </w:r>
          </w:p>
        </w:tc>
      </w:tr>
      <w:tr w14:paraId="5E4E9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2E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6</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8540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充电箱</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3C29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DE20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632" w:type="dxa"/>
            <w:tcBorders>
              <w:top w:val="single" w:color="000000" w:sz="4" w:space="0"/>
              <w:left w:val="nil"/>
              <w:bottom w:val="single" w:color="000000" w:sz="4" w:space="0"/>
              <w:right w:val="single" w:color="000000" w:sz="4" w:space="0"/>
            </w:tcBorders>
            <w:shd w:val="clear" w:color="auto" w:fill="auto"/>
            <w:vAlign w:val="center"/>
          </w:tcPr>
          <w:p w14:paraId="085753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中国</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268DA4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是</w:t>
            </w:r>
          </w:p>
        </w:tc>
        <w:tc>
          <w:tcPr>
            <w:tcW w:w="5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B583">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★1.充电箱具有≥10个USB接口，支持使用USB线充电，提供5V/9V供电。一端连接充电器一端连接会议单元,支持≥18W快充。支持同时插满所有USB接口。</w:t>
            </w:r>
            <w:r>
              <w:rPr>
                <w:rFonts w:hint="eastAsia" w:asciiTheme="minorEastAsia" w:hAnsiTheme="minorEastAsia" w:eastAsiaTheme="minorEastAsia" w:cstheme="minorEastAsia"/>
                <w:b/>
                <w:bCs/>
                <w:i w:val="0"/>
                <w:iCs w:val="0"/>
                <w:color w:val="000000"/>
                <w:kern w:val="0"/>
                <w:sz w:val="21"/>
                <w:szCs w:val="21"/>
                <w:u w:val="none"/>
                <w:lang w:val="en-US" w:eastAsia="zh-CN" w:bidi="ar"/>
              </w:rPr>
              <w:t>（提供第三方检测机构出具的具有CNAS标志的检测报告扫描件或复印件）</w:t>
            </w:r>
          </w:p>
          <w:p w14:paraId="0989D2E5">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★2.根据设备的耐受电流大小充电器会自动匹配合适的电流大小给设备充电，同时有过流保护功能。</w:t>
            </w:r>
            <w:r>
              <w:rPr>
                <w:rFonts w:hint="eastAsia" w:asciiTheme="minorEastAsia" w:hAnsiTheme="minorEastAsia" w:eastAsiaTheme="minorEastAsia" w:cstheme="minorEastAsia"/>
                <w:b/>
                <w:bCs/>
                <w:i w:val="0"/>
                <w:iCs w:val="0"/>
                <w:color w:val="000000"/>
                <w:kern w:val="0"/>
                <w:sz w:val="21"/>
                <w:szCs w:val="21"/>
                <w:u w:val="none"/>
                <w:lang w:val="en-US" w:eastAsia="zh-CN" w:bidi="ar"/>
              </w:rPr>
              <w:t>（提供第三方检测机构出具的具有CNAS标志的检测报告扫描件或复印件）</w:t>
            </w:r>
          </w:p>
          <w:p w14:paraId="18D32D0B">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★3.智能自动电路保护，所有USB插口均具有短路保护功能和自恢复功能。</w:t>
            </w:r>
            <w:r>
              <w:rPr>
                <w:rFonts w:hint="eastAsia" w:asciiTheme="minorEastAsia" w:hAnsiTheme="minorEastAsia" w:eastAsiaTheme="minorEastAsia" w:cstheme="minorEastAsia"/>
                <w:b/>
                <w:bCs/>
                <w:i w:val="0"/>
                <w:iCs w:val="0"/>
                <w:color w:val="000000"/>
                <w:kern w:val="0"/>
                <w:sz w:val="21"/>
                <w:szCs w:val="21"/>
                <w:u w:val="none"/>
                <w:lang w:val="en-US" w:eastAsia="zh-CN" w:bidi="ar"/>
              </w:rPr>
              <w:t>（提供第三方检测机构出具的具有CNAS标志的检测报告扫描件或复印件）</w:t>
            </w:r>
          </w:p>
        </w:tc>
      </w:tr>
      <w:tr w14:paraId="7CD5C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62A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7</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279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集成服务</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44E6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项</w:t>
            </w:r>
          </w:p>
        </w:tc>
        <w:tc>
          <w:tcPr>
            <w:tcW w:w="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027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632" w:type="dxa"/>
            <w:tcBorders>
              <w:top w:val="single" w:color="000000" w:sz="4" w:space="0"/>
              <w:left w:val="nil"/>
              <w:bottom w:val="single" w:color="000000" w:sz="4" w:space="0"/>
              <w:right w:val="single" w:color="000000" w:sz="4" w:space="0"/>
            </w:tcBorders>
            <w:shd w:val="clear" w:color="auto" w:fill="auto"/>
            <w:vAlign w:val="center"/>
          </w:tcPr>
          <w:p w14:paraId="7AE96C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中国</w:t>
            </w:r>
          </w:p>
        </w:tc>
        <w:tc>
          <w:tcPr>
            <w:tcW w:w="736" w:type="dxa"/>
            <w:tcBorders>
              <w:top w:val="single" w:color="000000" w:sz="4" w:space="0"/>
              <w:left w:val="nil"/>
              <w:bottom w:val="single" w:color="000000" w:sz="4" w:space="0"/>
              <w:right w:val="single" w:color="000000" w:sz="4" w:space="0"/>
            </w:tcBorders>
            <w:shd w:val="clear" w:color="auto" w:fill="auto"/>
            <w:vAlign w:val="center"/>
          </w:tcPr>
          <w:p w14:paraId="2CBD78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是</w:t>
            </w:r>
          </w:p>
        </w:tc>
        <w:tc>
          <w:tcPr>
            <w:tcW w:w="58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836C2">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包含辅材及系统集成的安装调试费用</w:t>
            </w:r>
          </w:p>
        </w:tc>
      </w:tr>
    </w:tbl>
    <w:p w14:paraId="2711ADAF">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三</w:t>
      </w:r>
      <w:r>
        <w:rPr>
          <w:rFonts w:hint="eastAsia" w:asciiTheme="minorEastAsia" w:hAnsiTheme="minorEastAsia" w:eastAsiaTheme="minorEastAsia" w:cstheme="minorEastAsia"/>
          <w:b/>
          <w:bCs/>
          <w:kern w:val="2"/>
          <w:sz w:val="21"/>
          <w:szCs w:val="21"/>
          <w:lang w:val="en-US" w:eastAsia="zh-CN" w:bidi="ar-SA"/>
        </w:rPr>
        <w:t>、</w:t>
      </w:r>
      <w:r>
        <w:rPr>
          <w:rFonts w:hint="eastAsia" w:asciiTheme="minorEastAsia" w:hAnsiTheme="minorEastAsia" w:eastAsiaTheme="minorEastAsia" w:cstheme="minorEastAsia"/>
          <w:b/>
          <w:bCs/>
          <w:sz w:val="21"/>
          <w:szCs w:val="21"/>
          <w:lang w:val="en-US" w:eastAsia="zh-CN"/>
        </w:rPr>
        <w:t>★服务要求</w:t>
      </w:r>
    </w:p>
    <w:p w14:paraId="53BDCD4D">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1.产品报价包含设备费、安装所需音频跳线等辅材费、上门安装调试等费用、物流运输等费用，甲方不再额外支付其他任何费用。</w:t>
      </w:r>
    </w:p>
    <w:p w14:paraId="478432F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2.产品要求原装正品，不接受拆改配的产品。</w:t>
      </w:r>
    </w:p>
    <w:p w14:paraId="6C8D74B9">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3.安装调试完成后，由甲方相关人员采取现场查看、设备启动运行等方式进行验收，完全满足合同参数及标准为验收合格。</w:t>
      </w:r>
    </w:p>
    <w:p w14:paraId="5A6A53D0">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售后服务要求：产品要求3年免费保修。要求供应商在本地具有售后服务网点，质保期内，在接到采购人通知 1 个小时内响应，4小时内到达现场处理故障，如8个小时内不能处理故障的，需要提供同等配置的设备给甲方使用，直至设备维修好为止；提供7*24 小时电话支持。质保期内供应商每年提供不少于十次定期进行用户回访检修，及时处理用户意见；提供每年三次重大活动技术保障；不达标按违约处理并追究责任。</w:t>
      </w:r>
    </w:p>
    <w:p w14:paraId="3BDE4401">
      <w:pPr>
        <w:rPr>
          <w:rFonts w:ascii="华文中宋" w:hAnsi="华文中宋" w:eastAsia="华文中宋"/>
          <w:b/>
          <w:sz w:val="32"/>
        </w:rPr>
      </w:pPr>
      <w:r>
        <w:rPr>
          <w:rFonts w:ascii="华文中宋" w:hAnsi="华文中宋" w:eastAsia="华文中宋"/>
          <w:b/>
          <w:sz w:val="32"/>
        </w:rPr>
        <w:br w:type="page"/>
      </w:r>
    </w:p>
    <w:p w14:paraId="79379395">
      <w:pPr>
        <w:outlineLvl w:val="1"/>
        <w:rPr>
          <w:rFonts w:ascii="华文中宋" w:hAnsi="华文中宋" w:eastAsia="华文中宋" w:cs="Times New Roman"/>
          <w:b/>
          <w:sz w:val="32"/>
        </w:rPr>
      </w:pPr>
      <w:r>
        <w:rPr>
          <w:rFonts w:ascii="华文中宋" w:hAnsi="华文中宋" w:eastAsia="华文中宋" w:cs="Times New Roman"/>
          <w:b/>
          <w:sz w:val="32"/>
        </w:rPr>
        <w:t>附件</w:t>
      </w:r>
      <w:r>
        <w:rPr>
          <w:rFonts w:hint="eastAsia" w:ascii="华文中宋" w:hAnsi="华文中宋" w:eastAsia="华文中宋" w:cs="Times New Roman"/>
          <w:b/>
          <w:sz w:val="32"/>
        </w:rPr>
        <w:t>二：</w:t>
      </w:r>
    </w:p>
    <w:p w14:paraId="28B22DD0">
      <w:pPr>
        <w:pageBreakBefore w:val="0"/>
        <w:kinsoku/>
        <w:wordWrap/>
        <w:overflowPunct/>
        <w:topLinePunct w:val="0"/>
        <w:bidi w:val="0"/>
        <w:spacing w:before="0" w:line="240" w:lineRule="auto"/>
        <w:jc w:val="center"/>
        <w:rPr>
          <w:rFonts w:hint="eastAsia" w:ascii="宋体" w:hAnsi="宋体" w:eastAsia="宋体" w:cs="宋体"/>
          <w:b/>
          <w:bCs/>
          <w:snapToGrid w:val="0"/>
          <w:color w:val="auto"/>
          <w:spacing w:val="-20"/>
          <w:kern w:val="0"/>
          <w:sz w:val="32"/>
          <w:szCs w:val="32"/>
          <w:highlight w:val="none"/>
          <w:lang w:val="en-US" w:eastAsia="zh-CN" w:bidi="ar-SA"/>
        </w:rPr>
      </w:pPr>
      <w:r>
        <w:rPr>
          <w:rFonts w:hint="eastAsia" w:ascii="宋体" w:hAnsi="宋体" w:eastAsia="宋体" w:cs="宋体"/>
          <w:b/>
          <w:bCs/>
          <w:snapToGrid w:val="0"/>
          <w:color w:val="auto"/>
          <w:spacing w:val="-20"/>
          <w:kern w:val="0"/>
          <w:sz w:val="32"/>
          <w:szCs w:val="32"/>
          <w:highlight w:val="none"/>
          <w:lang w:val="en-US" w:eastAsia="zh-CN" w:bidi="ar-SA"/>
        </w:rPr>
        <w:t>报价人资格声明函</w:t>
      </w:r>
    </w:p>
    <w:p w14:paraId="68886287">
      <w:pPr>
        <w:ind w:firstLine="420"/>
      </w:pPr>
    </w:p>
    <w:p w14:paraId="31D9D86E">
      <w:pPr>
        <w:pStyle w:val="3"/>
        <w:spacing w:line="240" w:lineRule="auto"/>
        <w:ind w:firstLine="0"/>
        <w:jc w:val="both"/>
        <w:rPr>
          <w:rFonts w:ascii="Times New Roman"/>
        </w:rPr>
      </w:pPr>
      <w:r>
        <w:rPr>
          <w:rFonts w:hint="eastAsia" w:ascii="Times New Roman"/>
        </w:rPr>
        <w:t>中国人民警察大学（广州）</w:t>
      </w:r>
      <w:r>
        <w:rPr>
          <w:rFonts w:ascii="Times New Roman"/>
        </w:rPr>
        <w:t>：</w:t>
      </w:r>
    </w:p>
    <w:p w14:paraId="48D06654">
      <w:pPr>
        <w:pageBreakBefore w:val="0"/>
        <w:kinsoku/>
        <w:wordWrap/>
        <w:overflowPunct/>
        <w:topLinePunct w:val="0"/>
        <w:autoSpaceDE/>
        <w:autoSpaceDN/>
        <w:bidi w:val="0"/>
        <w:spacing w:before="182" w:line="300" w:lineRule="auto"/>
        <w:ind w:left="19" w:right="1" w:firstLine="472"/>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关于</w:t>
      </w:r>
      <w:r>
        <w:rPr>
          <w:rFonts w:hint="eastAsia" w:ascii="宋体" w:hAnsi="宋体" w:eastAsia="宋体" w:cs="宋体"/>
          <w:color w:val="auto"/>
          <w:sz w:val="22"/>
          <w:szCs w:val="22"/>
          <w:highlight w:val="none"/>
          <w:u w:val="single" w:color="auto"/>
          <w:lang w:eastAsia="zh-CN"/>
        </w:rPr>
        <w:t>中国人民警察大学（广州）视频会议系统及会议室音频系统采购项目（项目编</w:t>
      </w:r>
      <w:r>
        <w:rPr>
          <w:rFonts w:hint="eastAsia" w:ascii="宋体" w:hAnsi="宋体" w:eastAsia="宋体" w:cs="宋体"/>
          <w:color w:val="auto"/>
          <w:sz w:val="22"/>
          <w:szCs w:val="22"/>
          <w:highlight w:val="none"/>
          <w:u w:val="single" w:color="auto"/>
        </w:rPr>
        <w:t>号：</w:t>
      </w:r>
      <w:r>
        <w:rPr>
          <w:rFonts w:hint="eastAsia" w:ascii="宋体" w:hAnsi="宋体" w:eastAsia="宋体" w:cs="宋体"/>
          <w:color w:val="auto"/>
          <w:sz w:val="22"/>
          <w:szCs w:val="22"/>
          <w:highlight w:val="none"/>
          <w:u w:val="single" w:color="auto"/>
          <w:lang w:eastAsia="zh-CN"/>
        </w:rPr>
        <w:t>GZGCCG-2026058</w:t>
      </w:r>
      <w:r>
        <w:rPr>
          <w:rFonts w:hint="eastAsia" w:ascii="宋体" w:hAnsi="宋体" w:eastAsia="宋体" w:cs="宋体"/>
          <w:color w:val="auto"/>
          <w:sz w:val="22"/>
          <w:szCs w:val="22"/>
          <w:highlight w:val="none"/>
          <w:u w:val="single" w:color="auto"/>
        </w:rPr>
        <w:t>）</w:t>
      </w:r>
      <w:r>
        <w:rPr>
          <w:rFonts w:hint="eastAsia" w:ascii="宋体" w:hAnsi="宋体" w:eastAsia="宋体" w:cs="宋体"/>
          <w:color w:val="auto"/>
          <w:sz w:val="22"/>
          <w:szCs w:val="22"/>
          <w:highlight w:val="none"/>
        </w:rPr>
        <w:t>的采</w:t>
      </w:r>
      <w:r>
        <w:rPr>
          <w:rFonts w:hint="eastAsia" w:ascii="宋体" w:hAnsi="宋体" w:eastAsia="宋体" w:cs="宋体"/>
          <w:color w:val="auto"/>
          <w:spacing w:val="-1"/>
          <w:sz w:val="22"/>
          <w:szCs w:val="22"/>
          <w:highlight w:val="none"/>
        </w:rPr>
        <w:t>购公告，本公司（企业）愿意参加</w:t>
      </w:r>
      <w:r>
        <w:rPr>
          <w:rFonts w:hint="eastAsia" w:ascii="宋体" w:hAnsi="宋体" w:eastAsia="宋体" w:cs="宋体"/>
          <w:color w:val="auto"/>
          <w:spacing w:val="-1"/>
          <w:sz w:val="22"/>
          <w:szCs w:val="22"/>
          <w:highlight w:val="none"/>
          <w:lang w:val="en-US" w:eastAsia="zh-CN"/>
        </w:rPr>
        <w:t>响应</w:t>
      </w:r>
      <w:r>
        <w:rPr>
          <w:rFonts w:hint="eastAsia" w:ascii="宋体" w:hAnsi="宋体" w:eastAsia="宋体" w:cs="宋体"/>
          <w:color w:val="auto"/>
          <w:spacing w:val="-1"/>
          <w:sz w:val="22"/>
          <w:szCs w:val="22"/>
          <w:highlight w:val="none"/>
        </w:rPr>
        <w:t>，并声明：</w:t>
      </w:r>
    </w:p>
    <w:p w14:paraId="549B5592">
      <w:pPr>
        <w:pageBreakBefore w:val="0"/>
        <w:kinsoku/>
        <w:wordWrap/>
        <w:overflowPunct/>
        <w:topLinePunct w:val="0"/>
        <w:autoSpaceDE/>
        <w:autoSpaceDN/>
        <w:bidi w:val="0"/>
        <w:spacing w:before="37" w:line="300" w:lineRule="auto"/>
        <w:ind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一、本公司（企业）具备《中华人民共和国政府</w:t>
      </w:r>
      <w:r>
        <w:rPr>
          <w:rFonts w:hint="eastAsia" w:ascii="宋体" w:hAnsi="宋体" w:eastAsia="宋体" w:cs="宋体"/>
          <w:color w:val="auto"/>
          <w:spacing w:val="-1"/>
          <w:sz w:val="22"/>
          <w:szCs w:val="22"/>
          <w:highlight w:val="none"/>
        </w:rPr>
        <w:t>采购法》第二十二条规定的条件：</w:t>
      </w:r>
    </w:p>
    <w:p w14:paraId="6AC74FB5">
      <w:pPr>
        <w:pageBreakBefore w:val="0"/>
        <w:kinsoku/>
        <w:wordWrap/>
        <w:overflowPunct/>
        <w:topLinePunct w:val="0"/>
        <w:autoSpaceDE/>
        <w:autoSpaceDN/>
        <w:bidi w:val="0"/>
        <w:spacing w:before="183" w:line="240" w:lineRule="auto"/>
        <w:ind w:left="505"/>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1、具有独立承担民事责任的能力；</w:t>
      </w:r>
    </w:p>
    <w:p w14:paraId="3F736362">
      <w:pPr>
        <w:pageBreakBefore w:val="0"/>
        <w:kinsoku/>
        <w:wordWrap/>
        <w:overflowPunct/>
        <w:topLinePunct w:val="0"/>
        <w:autoSpaceDE/>
        <w:autoSpaceDN/>
        <w:bidi w:val="0"/>
        <w:spacing w:before="182" w:line="240" w:lineRule="auto"/>
        <w:ind w:left="491"/>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2、有依法缴纳税收和社会保障资金的良好记录；</w:t>
      </w:r>
    </w:p>
    <w:p w14:paraId="23389D4B">
      <w:pPr>
        <w:pageBreakBefore w:val="0"/>
        <w:kinsoku/>
        <w:wordWrap/>
        <w:overflowPunct/>
        <w:topLinePunct w:val="0"/>
        <w:autoSpaceDE/>
        <w:autoSpaceDN/>
        <w:bidi w:val="0"/>
        <w:spacing w:before="181"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3、具有良好的商业信誉和健全的财务会计制度；</w:t>
      </w:r>
    </w:p>
    <w:p w14:paraId="73E96564">
      <w:pPr>
        <w:pageBreakBefore w:val="0"/>
        <w:kinsoku/>
        <w:wordWrap/>
        <w:overflowPunct/>
        <w:topLinePunct w:val="0"/>
        <w:autoSpaceDE/>
        <w:autoSpaceDN/>
        <w:bidi w:val="0"/>
        <w:spacing w:before="183" w:line="240" w:lineRule="auto"/>
        <w:ind w:left="487"/>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4、具有履行合同所必需的设备和专业技术能力；</w:t>
      </w:r>
    </w:p>
    <w:p w14:paraId="380D59F0">
      <w:pPr>
        <w:pageBreakBefore w:val="0"/>
        <w:kinsoku/>
        <w:wordWrap/>
        <w:overflowPunct/>
        <w:topLinePunct w:val="0"/>
        <w:autoSpaceDE/>
        <w:autoSpaceDN/>
        <w:bidi w:val="0"/>
        <w:spacing w:before="180" w:line="240" w:lineRule="auto"/>
        <w:ind w:left="492"/>
        <w:rPr>
          <w:rFonts w:hint="eastAsia" w:ascii="宋体" w:hAnsi="宋体" w:eastAsia="宋体" w:cs="宋体"/>
          <w:color w:val="auto"/>
          <w:sz w:val="22"/>
          <w:szCs w:val="22"/>
          <w:highlight w:val="none"/>
        </w:rPr>
      </w:pPr>
      <w:r>
        <w:rPr>
          <w:rFonts w:hint="eastAsia" w:ascii="宋体" w:hAnsi="宋体" w:eastAsia="宋体" w:cs="宋体"/>
          <w:color w:val="auto"/>
          <w:spacing w:val="-1"/>
          <w:sz w:val="22"/>
          <w:szCs w:val="22"/>
          <w:highlight w:val="none"/>
        </w:rPr>
        <w:t>5、参加政府采购活动前三年内，在经营活动中没有重大违法记录；</w:t>
      </w:r>
    </w:p>
    <w:p w14:paraId="71CF669C">
      <w:pPr>
        <w:pageBreakBefore w:val="0"/>
        <w:kinsoku/>
        <w:wordWrap/>
        <w:overflowPunct/>
        <w:topLinePunct w:val="0"/>
        <w:autoSpaceDE/>
        <w:autoSpaceDN/>
        <w:bidi w:val="0"/>
        <w:spacing w:before="183" w:line="240" w:lineRule="auto"/>
        <w:ind w:left="490"/>
        <w:rPr>
          <w:rFonts w:hint="default" w:ascii="宋体" w:hAnsi="宋体" w:eastAsia="宋体" w:cs="宋体"/>
          <w:color w:val="auto"/>
          <w:spacing w:val="-1"/>
          <w:sz w:val="22"/>
          <w:szCs w:val="22"/>
          <w:highlight w:val="none"/>
          <w:lang w:val="en-US" w:eastAsia="zh-CN"/>
        </w:rPr>
      </w:pPr>
      <w:r>
        <w:rPr>
          <w:rFonts w:hint="eastAsia" w:ascii="宋体" w:hAnsi="宋体" w:eastAsia="宋体" w:cs="宋体"/>
          <w:color w:val="auto"/>
          <w:spacing w:val="-1"/>
          <w:sz w:val="22"/>
          <w:szCs w:val="22"/>
          <w:highlight w:val="none"/>
        </w:rPr>
        <w:t>6、法律、行政法规规定的其他条件。</w:t>
      </w:r>
    </w:p>
    <w:p w14:paraId="3225B1A2">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1"/>
          <w:sz w:val="22"/>
          <w:szCs w:val="22"/>
          <w:highlight w:val="none"/>
        </w:rPr>
      </w:pPr>
      <w:r>
        <w:rPr>
          <w:rFonts w:hint="eastAsia" w:ascii="宋体" w:hAnsi="宋体" w:eastAsia="宋体" w:cs="宋体"/>
          <w:color w:val="auto"/>
          <w:spacing w:val="1"/>
          <w:sz w:val="22"/>
          <w:szCs w:val="22"/>
          <w:highlight w:val="none"/>
        </w:rPr>
        <w:t>二、本公司（企业）的单位负责人与所参投的本采购项</w:t>
      </w:r>
      <w:r>
        <w:rPr>
          <w:rFonts w:hint="eastAsia" w:ascii="宋体" w:hAnsi="宋体" w:eastAsia="宋体" w:cs="宋体"/>
          <w:color w:val="auto"/>
          <w:sz w:val="22"/>
          <w:szCs w:val="22"/>
          <w:highlight w:val="none"/>
        </w:rPr>
        <w:t>目包组的其他</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的单位负责</w:t>
      </w:r>
      <w:r>
        <w:rPr>
          <w:rFonts w:hint="eastAsia" w:ascii="宋体" w:hAnsi="宋体" w:eastAsia="宋体" w:cs="宋体"/>
          <w:color w:val="auto"/>
          <w:spacing w:val="-1"/>
          <w:sz w:val="22"/>
          <w:szCs w:val="22"/>
          <w:highlight w:val="none"/>
        </w:rPr>
        <w:t>人不为同一人且与其他</w:t>
      </w:r>
      <w:r>
        <w:rPr>
          <w:rFonts w:hint="eastAsia" w:ascii="宋体" w:hAnsi="宋体" w:eastAsia="宋体" w:cs="宋体"/>
          <w:color w:val="auto"/>
          <w:spacing w:val="-1"/>
          <w:sz w:val="22"/>
          <w:szCs w:val="22"/>
          <w:highlight w:val="none"/>
          <w:lang w:eastAsia="zh-CN"/>
        </w:rPr>
        <w:t>响应人</w:t>
      </w:r>
      <w:r>
        <w:rPr>
          <w:rFonts w:hint="eastAsia" w:ascii="宋体" w:hAnsi="宋体" w:eastAsia="宋体" w:cs="宋体"/>
          <w:color w:val="auto"/>
          <w:spacing w:val="-1"/>
          <w:sz w:val="22"/>
          <w:szCs w:val="22"/>
          <w:highlight w:val="none"/>
        </w:rPr>
        <w:t>之间不存在直接控股、管理关系。</w:t>
      </w:r>
    </w:p>
    <w:p w14:paraId="2B3BD7E4">
      <w:pPr>
        <w:pageBreakBefore w:val="0"/>
        <w:kinsoku/>
        <w:wordWrap/>
        <w:overflowPunct/>
        <w:topLinePunct w:val="0"/>
        <w:autoSpaceDE/>
        <w:autoSpaceDN/>
        <w:bidi w:val="0"/>
        <w:spacing w:before="180" w:line="300" w:lineRule="auto"/>
        <w:ind w:right="1" w:firstLine="444" w:firstLineChars="200"/>
        <w:rPr>
          <w:rFonts w:hint="eastAsia" w:ascii="宋体" w:hAnsi="宋体" w:eastAsia="宋体" w:cs="宋体"/>
          <w:color w:val="auto"/>
          <w:spacing w:val="-2"/>
          <w:sz w:val="22"/>
          <w:szCs w:val="22"/>
          <w:highlight w:val="none"/>
        </w:rPr>
      </w:pPr>
      <w:r>
        <w:rPr>
          <w:rFonts w:hint="eastAsia" w:ascii="宋体" w:hAnsi="宋体" w:eastAsia="宋体" w:cs="宋体"/>
          <w:color w:val="auto"/>
          <w:spacing w:val="1"/>
          <w:sz w:val="22"/>
          <w:szCs w:val="22"/>
          <w:highlight w:val="none"/>
        </w:rPr>
        <w:t>三、根据《中华人民共和国政府采购法实施条例》的规定，本</w:t>
      </w:r>
      <w:r>
        <w:rPr>
          <w:rFonts w:hint="eastAsia" w:ascii="宋体" w:hAnsi="宋体" w:eastAsia="宋体" w:cs="宋体"/>
          <w:color w:val="auto"/>
          <w:sz w:val="22"/>
          <w:szCs w:val="22"/>
          <w:highlight w:val="none"/>
        </w:rPr>
        <w:t>公司（企业）如为本采购</w:t>
      </w:r>
      <w:r>
        <w:rPr>
          <w:rFonts w:hint="eastAsia" w:ascii="宋体" w:hAnsi="宋体" w:eastAsia="宋体" w:cs="宋体"/>
          <w:color w:val="auto"/>
          <w:spacing w:val="1"/>
          <w:sz w:val="22"/>
          <w:szCs w:val="22"/>
          <w:highlight w:val="none"/>
        </w:rPr>
        <w:t>项目包组提供整体设计、规范编制或者项目管理、监理、</w:t>
      </w:r>
      <w:r>
        <w:rPr>
          <w:rFonts w:hint="eastAsia" w:ascii="宋体" w:hAnsi="宋体" w:eastAsia="宋体" w:cs="宋体"/>
          <w:color w:val="auto"/>
          <w:sz w:val="22"/>
          <w:szCs w:val="22"/>
          <w:highlight w:val="none"/>
        </w:rPr>
        <w:t>检测等服务的</w:t>
      </w:r>
      <w:r>
        <w:rPr>
          <w:rFonts w:hint="eastAsia" w:ascii="宋体" w:hAnsi="宋体" w:eastAsia="宋体" w:cs="宋体"/>
          <w:color w:val="auto"/>
          <w:sz w:val="22"/>
          <w:szCs w:val="22"/>
          <w:highlight w:val="none"/>
          <w:lang w:eastAsia="zh-CN"/>
        </w:rPr>
        <w:t>响应人</w:t>
      </w:r>
      <w:r>
        <w:rPr>
          <w:rFonts w:hint="eastAsia" w:ascii="宋体" w:hAnsi="宋体" w:eastAsia="宋体" w:cs="宋体"/>
          <w:color w:val="auto"/>
          <w:sz w:val="22"/>
          <w:szCs w:val="22"/>
          <w:highlight w:val="none"/>
        </w:rPr>
        <w:t xml:space="preserve">，不得再参加 </w:t>
      </w:r>
      <w:r>
        <w:rPr>
          <w:rFonts w:hint="eastAsia" w:ascii="宋体" w:hAnsi="宋体" w:eastAsia="宋体" w:cs="宋体"/>
          <w:color w:val="auto"/>
          <w:spacing w:val="1"/>
          <w:sz w:val="22"/>
          <w:szCs w:val="22"/>
          <w:highlight w:val="none"/>
        </w:rPr>
        <w:t>该采购项目包组的其他采购活动。否则，由此所造成的损</w:t>
      </w:r>
      <w:r>
        <w:rPr>
          <w:rFonts w:hint="eastAsia" w:ascii="宋体" w:hAnsi="宋体" w:eastAsia="宋体" w:cs="宋体"/>
          <w:color w:val="auto"/>
          <w:sz w:val="22"/>
          <w:szCs w:val="22"/>
          <w:highlight w:val="none"/>
        </w:rPr>
        <w:t xml:space="preserve">失、不良后果及法律责任，一律由 </w:t>
      </w:r>
      <w:r>
        <w:rPr>
          <w:rFonts w:hint="eastAsia" w:ascii="宋体" w:hAnsi="宋体" w:eastAsia="宋体" w:cs="宋体"/>
          <w:color w:val="auto"/>
          <w:spacing w:val="-2"/>
          <w:sz w:val="22"/>
          <w:szCs w:val="22"/>
          <w:highlight w:val="none"/>
        </w:rPr>
        <w:t>我公司（企业）承担。</w:t>
      </w:r>
    </w:p>
    <w:p w14:paraId="01484C40">
      <w:pPr>
        <w:pageBreakBefore w:val="0"/>
        <w:kinsoku/>
        <w:wordWrap/>
        <w:overflowPunct/>
        <w:topLinePunct w:val="0"/>
        <w:autoSpaceDE/>
        <w:autoSpaceDN/>
        <w:bidi w:val="0"/>
        <w:spacing w:before="180" w:line="300" w:lineRule="auto"/>
        <w:ind w:right="1" w:firstLine="440" w:firstLineChars="20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四、本公司（企业）承诺在本次招标采购活动中，如有违法、违规、弄虚作假行为，所造成的损失、不良后果及法律责任，一律由</w:t>
      </w:r>
      <w:r>
        <w:rPr>
          <w:rFonts w:hint="eastAsia" w:ascii="宋体" w:hAnsi="宋体" w:eastAsia="宋体" w:cs="宋体"/>
          <w:color w:val="auto"/>
          <w:spacing w:val="-1"/>
          <w:sz w:val="22"/>
          <w:szCs w:val="22"/>
          <w:highlight w:val="none"/>
        </w:rPr>
        <w:t>我公司（企业）承担。</w:t>
      </w:r>
    </w:p>
    <w:p w14:paraId="6084F6B0">
      <w:pPr>
        <w:pageBreakBefore w:val="0"/>
        <w:kinsoku/>
        <w:wordWrap/>
        <w:overflowPunct/>
        <w:topLinePunct w:val="0"/>
        <w:autoSpaceDE/>
        <w:autoSpaceDN/>
        <w:bidi w:val="0"/>
        <w:spacing w:before="180" w:line="300" w:lineRule="auto"/>
        <w:ind w:left="488"/>
        <w:rPr>
          <w:rFonts w:hint="eastAsia" w:ascii="宋体" w:hAnsi="宋体" w:eastAsia="宋体" w:cs="宋体"/>
          <w:color w:val="auto"/>
          <w:sz w:val="22"/>
          <w:szCs w:val="22"/>
          <w:highlight w:val="none"/>
        </w:rPr>
      </w:pPr>
      <w:r>
        <w:rPr>
          <w:rFonts w:hint="eastAsia" w:ascii="宋体" w:hAnsi="宋体" w:eastAsia="宋体" w:cs="宋体"/>
          <w:color w:val="auto"/>
          <w:spacing w:val="-2"/>
          <w:sz w:val="22"/>
          <w:szCs w:val="22"/>
          <w:highlight w:val="none"/>
        </w:rPr>
        <w:t>特此声明！</w:t>
      </w:r>
    </w:p>
    <w:p w14:paraId="021219FE">
      <w:pPr>
        <w:rPr>
          <w:sz w:val="24"/>
        </w:rPr>
      </w:pPr>
    </w:p>
    <w:p w14:paraId="6B32FF1E">
      <w:pPr>
        <w:keepNext w:val="0"/>
        <w:keepLines w:val="0"/>
        <w:pageBreakBefore w:val="0"/>
        <w:widowControl/>
        <w:kinsoku/>
        <w:wordWrap/>
        <w:overflowPunct/>
        <w:topLinePunct w:val="0"/>
        <w:autoSpaceDE/>
        <w:autoSpaceDN/>
        <w:bidi w:val="0"/>
        <w:adjustRightInd/>
        <w:snapToGrid/>
        <w:spacing w:line="360" w:lineRule="auto"/>
        <w:textAlignment w:val="auto"/>
        <w:rPr>
          <w:sz w:val="24"/>
        </w:rPr>
      </w:pPr>
      <w:r>
        <w:rPr>
          <w:sz w:val="24"/>
        </w:rPr>
        <w:tab/>
      </w:r>
      <w:r>
        <w:rPr>
          <w:rFonts w:hint="eastAsia"/>
          <w:sz w:val="24"/>
        </w:rPr>
        <w:t>投标人名称</w:t>
      </w:r>
      <w:r>
        <w:rPr>
          <w:sz w:val="24"/>
        </w:rPr>
        <w:t>：</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1E29A227">
      <w:pPr>
        <w:keepNext w:val="0"/>
        <w:keepLines w:val="0"/>
        <w:pageBreakBefore w:val="0"/>
        <w:widowControl/>
        <w:kinsoku/>
        <w:wordWrap/>
        <w:overflowPunct/>
        <w:topLinePunct w:val="0"/>
        <w:autoSpaceDE/>
        <w:autoSpaceDN/>
        <w:bidi w:val="0"/>
        <w:adjustRightInd/>
        <w:snapToGrid/>
        <w:spacing w:line="360" w:lineRule="auto"/>
        <w:textAlignment w:val="auto"/>
        <w:rPr>
          <w:sz w:val="24"/>
        </w:rPr>
      </w:pPr>
      <w:r>
        <w:rPr>
          <w:sz w:val="24"/>
        </w:rPr>
        <w:tab/>
      </w:r>
      <w:r>
        <w:rPr>
          <w:sz w:val="24"/>
        </w:rPr>
        <w:t>地址：</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697A4957">
      <w:pPr>
        <w:keepNext w:val="0"/>
        <w:keepLines w:val="0"/>
        <w:pageBreakBefore w:val="0"/>
        <w:widowControl/>
        <w:kinsoku/>
        <w:wordWrap/>
        <w:overflowPunct/>
        <w:topLinePunct w:val="0"/>
        <w:autoSpaceDE/>
        <w:autoSpaceDN/>
        <w:bidi w:val="0"/>
        <w:adjustRightInd/>
        <w:snapToGrid/>
        <w:spacing w:line="360" w:lineRule="auto"/>
        <w:textAlignment w:val="auto"/>
        <w:rPr>
          <w:sz w:val="24"/>
        </w:rPr>
      </w:pPr>
      <w:r>
        <w:rPr>
          <w:sz w:val="24"/>
        </w:rPr>
        <w:tab/>
      </w:r>
      <w:r>
        <w:rPr>
          <w:sz w:val="24"/>
        </w:rPr>
        <w:t>电话：</w:t>
      </w:r>
      <w:r>
        <w:rPr>
          <w:sz w:val="24"/>
          <w:u w:val="single"/>
        </w:rPr>
        <w:tab/>
      </w:r>
      <w:r>
        <w:rPr>
          <w:sz w:val="24"/>
          <w:u w:val="single"/>
        </w:rPr>
        <w:tab/>
      </w:r>
      <w:r>
        <w:rPr>
          <w:sz w:val="24"/>
          <w:u w:val="single"/>
        </w:rPr>
        <w:tab/>
      </w:r>
      <w:r>
        <w:rPr>
          <w:sz w:val="24"/>
          <w:u w:val="single"/>
        </w:rPr>
        <w:tab/>
      </w:r>
      <w:r>
        <w:rPr>
          <w:sz w:val="24"/>
          <w:u w:val="single"/>
        </w:rPr>
        <w:tab/>
      </w:r>
      <w:r>
        <w:rPr>
          <w:sz w:val="24"/>
        </w:rPr>
        <w:tab/>
      </w:r>
      <w:r>
        <w:rPr>
          <w:sz w:val="24"/>
        </w:rPr>
        <w:tab/>
      </w:r>
      <w:r>
        <w:rPr>
          <w:sz w:val="24"/>
        </w:rPr>
        <w:tab/>
      </w:r>
      <w:r>
        <w:rPr>
          <w:sz w:val="24"/>
        </w:rPr>
        <w:tab/>
      </w:r>
    </w:p>
    <w:p w14:paraId="3AEE5231">
      <w:pPr>
        <w:keepNext w:val="0"/>
        <w:keepLines w:val="0"/>
        <w:pageBreakBefore w:val="0"/>
        <w:widowControl/>
        <w:kinsoku/>
        <w:wordWrap/>
        <w:overflowPunct/>
        <w:topLinePunct w:val="0"/>
        <w:autoSpaceDE/>
        <w:autoSpaceDN/>
        <w:bidi w:val="0"/>
        <w:adjustRightInd/>
        <w:snapToGrid/>
        <w:spacing w:line="360" w:lineRule="auto"/>
        <w:textAlignment w:val="auto"/>
        <w:rPr>
          <w:sz w:val="24"/>
        </w:rPr>
      </w:pPr>
      <w:r>
        <w:rPr>
          <w:sz w:val="24"/>
        </w:rPr>
        <w:tab/>
      </w:r>
      <w:r>
        <w:rPr>
          <w:sz w:val="24"/>
        </w:rPr>
        <w:t>承诺方授权代表签字：</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rPr>
        <w:t>（承诺方盖章）</w:t>
      </w:r>
    </w:p>
    <w:p w14:paraId="1047C20E">
      <w:pPr>
        <w:keepNext w:val="0"/>
        <w:keepLines w:val="0"/>
        <w:pageBreakBefore w:val="0"/>
        <w:widowControl/>
        <w:kinsoku/>
        <w:wordWrap/>
        <w:overflowPunct/>
        <w:topLinePunct w:val="0"/>
        <w:autoSpaceDE/>
        <w:autoSpaceDN/>
        <w:bidi w:val="0"/>
        <w:adjustRightInd/>
        <w:snapToGrid/>
        <w:spacing w:line="360" w:lineRule="auto"/>
        <w:textAlignment w:val="auto"/>
        <w:rPr>
          <w:szCs w:val="21"/>
        </w:rPr>
      </w:pPr>
      <w:r>
        <w:rPr>
          <w:sz w:val="24"/>
        </w:rPr>
        <w:tab/>
      </w:r>
      <w:r>
        <w:rPr>
          <w:sz w:val="24"/>
        </w:rPr>
        <w:t>日期：</w:t>
      </w:r>
      <w:r>
        <w:rPr>
          <w:rFonts w:hint="eastAsia"/>
          <w:sz w:val="24"/>
          <w:u w:val="single"/>
        </w:rPr>
        <w:t xml:space="preserve">     年      月      日</w:t>
      </w:r>
    </w:p>
    <w:p w14:paraId="7AC11FDB"/>
    <w:p w14:paraId="0305D029">
      <w:pPr>
        <w:rPr>
          <w:rFonts w:hint="eastAsia"/>
        </w:rPr>
      </w:pPr>
      <w:r>
        <w:rPr>
          <w:rFonts w:hint="eastAsia"/>
        </w:rPr>
        <w:br w:type="page"/>
      </w:r>
    </w:p>
    <w:p w14:paraId="1D5A2CAA">
      <w:pPr>
        <w:pStyle w:val="8"/>
        <w:tabs>
          <w:tab w:val="left" w:pos="540"/>
        </w:tabs>
        <w:adjustRightInd w:val="0"/>
        <w:snapToGrid w:val="0"/>
        <w:outlineLvl w:val="1"/>
        <w:rPr>
          <w:rFonts w:ascii="华文中宋" w:hAnsi="华文中宋" w:eastAsia="华文中宋"/>
          <w:b/>
          <w:bCs/>
          <w:sz w:val="32"/>
          <w:szCs w:val="32"/>
        </w:rPr>
      </w:pPr>
      <w:r>
        <w:rPr>
          <w:rFonts w:hint="eastAsia" w:ascii="华文中宋" w:hAnsi="华文中宋" w:eastAsia="华文中宋"/>
          <w:b/>
          <w:bCs/>
          <w:sz w:val="32"/>
          <w:szCs w:val="32"/>
        </w:rPr>
        <w:t>附件三</w:t>
      </w:r>
    </w:p>
    <w:p w14:paraId="3FBE266D">
      <w:pPr>
        <w:pStyle w:val="8"/>
        <w:tabs>
          <w:tab w:val="left" w:pos="540"/>
        </w:tabs>
        <w:adjustRightInd w:val="0"/>
        <w:snapToGrid w:val="0"/>
        <w:jc w:val="center"/>
        <w:rPr>
          <w:rFonts w:hint="eastAsia"/>
          <w:b/>
          <w:bCs/>
          <w:sz w:val="32"/>
          <w:szCs w:val="32"/>
        </w:rPr>
      </w:pPr>
    </w:p>
    <w:p w14:paraId="183C6F2B">
      <w:pPr>
        <w:pStyle w:val="8"/>
        <w:tabs>
          <w:tab w:val="left" w:pos="540"/>
        </w:tabs>
        <w:adjustRightInd w:val="0"/>
        <w:snapToGrid w:val="0"/>
        <w:jc w:val="both"/>
        <w:rPr>
          <w:rFonts w:hint="eastAsia"/>
          <w:b/>
          <w:bCs/>
          <w:sz w:val="40"/>
          <w:szCs w:val="40"/>
        </w:rPr>
      </w:pPr>
    </w:p>
    <w:p w14:paraId="129CF49E">
      <w:pPr>
        <w:pStyle w:val="8"/>
        <w:tabs>
          <w:tab w:val="left" w:pos="540"/>
        </w:tabs>
        <w:adjustRightInd w:val="0"/>
        <w:snapToGrid w:val="0"/>
        <w:jc w:val="center"/>
        <w:rPr>
          <w:b/>
          <w:bCs/>
          <w:sz w:val="40"/>
          <w:szCs w:val="40"/>
        </w:rPr>
      </w:pPr>
      <w:r>
        <w:rPr>
          <w:rFonts w:hint="eastAsia"/>
          <w:b/>
          <w:bCs/>
          <w:sz w:val="40"/>
          <w:szCs w:val="40"/>
        </w:rPr>
        <w:t>服 务 承 诺 书</w:t>
      </w:r>
    </w:p>
    <w:p w14:paraId="2AB0B1FB">
      <w:pPr>
        <w:pStyle w:val="8"/>
        <w:tabs>
          <w:tab w:val="left" w:pos="540"/>
        </w:tabs>
        <w:adjustRightInd w:val="0"/>
        <w:snapToGrid w:val="0"/>
        <w:jc w:val="center"/>
        <w:rPr>
          <w:b/>
          <w:bCs/>
          <w:sz w:val="32"/>
          <w:szCs w:val="32"/>
        </w:rPr>
      </w:pPr>
    </w:p>
    <w:p w14:paraId="0140D87E">
      <w:pPr>
        <w:pStyle w:val="8"/>
        <w:keepNext w:val="0"/>
        <w:keepLines w:val="0"/>
        <w:pageBreakBefore w:val="0"/>
        <w:widowControl/>
        <w:tabs>
          <w:tab w:val="left" w:pos="540"/>
        </w:tabs>
        <w:kinsoku/>
        <w:wordWrap/>
        <w:overflowPunct/>
        <w:topLinePunct w:val="0"/>
        <w:autoSpaceDE/>
        <w:autoSpaceDN/>
        <w:bidi w:val="0"/>
        <w:adjustRightInd w:val="0"/>
        <w:snapToGrid w:val="0"/>
        <w:spacing w:line="560" w:lineRule="exact"/>
        <w:textAlignment w:val="auto"/>
        <w:rPr>
          <w:rFonts w:hAnsi="宋体" w:cs="宋体"/>
          <w:sz w:val="28"/>
          <w:szCs w:val="28"/>
        </w:rPr>
      </w:pPr>
      <w:r>
        <w:rPr>
          <w:rFonts w:hint="eastAsia" w:hAnsi="宋体" w:cs="宋体"/>
          <w:sz w:val="28"/>
          <w:szCs w:val="28"/>
        </w:rPr>
        <w:t>本公司郑重承诺，我公司中标后：</w:t>
      </w:r>
    </w:p>
    <w:p w14:paraId="659F16D1">
      <w:pPr>
        <w:pStyle w:val="8"/>
        <w:keepNext w:val="0"/>
        <w:keepLines w:val="0"/>
        <w:pageBreakBefore w:val="0"/>
        <w:widowControl/>
        <w:tabs>
          <w:tab w:val="left" w:pos="540"/>
        </w:tabs>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  </w:t>
      </w:r>
    </w:p>
    <w:p w14:paraId="156D1FC0">
      <w:pPr>
        <w:pStyle w:val="8"/>
        <w:keepNext w:val="0"/>
        <w:keepLines w:val="0"/>
        <w:pageBreakBefore w:val="0"/>
        <w:widowControl/>
        <w:tabs>
          <w:tab w:val="left" w:pos="540"/>
        </w:tabs>
        <w:kinsoku/>
        <w:wordWrap/>
        <w:overflowPunct/>
        <w:topLinePunct w:val="0"/>
        <w:autoSpaceDE/>
        <w:autoSpaceDN/>
        <w:bidi w:val="0"/>
        <w:adjustRightInd w:val="0"/>
        <w:snapToGrid w:val="0"/>
        <w:spacing w:line="360" w:lineRule="auto"/>
        <w:ind w:firstLine="280" w:firstLineChars="100"/>
        <w:textAlignment w:val="auto"/>
        <w:rPr>
          <w:rFonts w:hint="eastAsia" w:ascii="宋体" w:hAnsi="宋体" w:eastAsia="宋体" w:cs="宋体"/>
          <w:sz w:val="28"/>
          <w:szCs w:val="28"/>
        </w:rPr>
      </w:pPr>
      <w:r>
        <w:rPr>
          <w:rFonts w:hint="eastAsia" w:ascii="宋体" w:hAnsi="宋体" w:eastAsia="宋体" w:cs="宋体"/>
          <w:sz w:val="28"/>
          <w:szCs w:val="28"/>
        </w:rPr>
        <w:t>一、按照采购需求文件中</w:t>
      </w:r>
      <w:r>
        <w:rPr>
          <w:rFonts w:hint="eastAsia" w:hAnsi="宋体" w:cs="宋体"/>
          <w:sz w:val="28"/>
          <w:szCs w:val="28"/>
          <w:lang w:val="en-US" w:eastAsia="zh-CN"/>
        </w:rPr>
        <w:t>货物</w:t>
      </w:r>
      <w:r>
        <w:rPr>
          <w:rFonts w:hint="eastAsia" w:ascii="宋体" w:hAnsi="宋体" w:eastAsia="宋体" w:cs="宋体"/>
          <w:sz w:val="28"/>
          <w:szCs w:val="28"/>
        </w:rPr>
        <w:t>技术要求供货等标准进行运作。</w:t>
      </w:r>
    </w:p>
    <w:p w14:paraId="486ED9F3">
      <w:pPr>
        <w:pStyle w:val="8"/>
        <w:keepNext w:val="0"/>
        <w:keepLines w:val="0"/>
        <w:pageBreakBefore w:val="0"/>
        <w:widowControl/>
        <w:tabs>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  二、如未能达到上述承诺，采购人有权取消我司中标资格，采购人有权单方解除合同。</w:t>
      </w:r>
    </w:p>
    <w:p w14:paraId="530741EC">
      <w:pPr>
        <w:pStyle w:val="8"/>
        <w:keepNext w:val="0"/>
        <w:keepLines w:val="0"/>
        <w:pageBreakBefore w:val="0"/>
        <w:widowControl/>
        <w:tabs>
          <w:tab w:val="left" w:pos="540"/>
        </w:tabs>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r>
        <w:rPr>
          <w:rFonts w:hint="eastAsia" w:ascii="宋体" w:hAnsi="宋体" w:eastAsia="宋体" w:cs="宋体"/>
          <w:sz w:val="28"/>
          <w:szCs w:val="28"/>
        </w:rPr>
        <w:t xml:space="preserve">  三、我公司按中标总价的200%赔偿采购人损失。</w:t>
      </w:r>
    </w:p>
    <w:p w14:paraId="60A6DD03">
      <w:pPr>
        <w:pStyle w:val="11"/>
        <w:keepNext w:val="0"/>
        <w:keepLines w:val="0"/>
        <w:widowControl/>
        <w:suppressLineNumbers w:val="0"/>
        <w:spacing w:before="0" w:beforeAutospacing="0" w:after="0" w:afterAutospacing="0" w:line="360" w:lineRule="auto"/>
        <w:ind w:left="0" w:right="0" w:firstLine="0"/>
        <w:jc w:val="lef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四、我司承诺中标后：根据</w:t>
      </w:r>
      <w:r>
        <w:rPr>
          <w:rFonts w:hint="eastAsia" w:ascii="宋体" w:hAnsi="宋体" w:eastAsia="宋体" w:cs="宋体"/>
          <w:sz w:val="28"/>
          <w:szCs w:val="28"/>
          <w:u w:val="single"/>
          <w:lang w:val="en-US" w:eastAsia="zh-CN"/>
        </w:rPr>
        <w:t>中国人民警察大学（广州）视频会议系统及会议室音频系统采购项目</w:t>
      </w:r>
      <w:r>
        <w:rPr>
          <w:rFonts w:hint="eastAsia" w:ascii="宋体" w:hAnsi="宋体" w:cs="宋体"/>
          <w:sz w:val="28"/>
          <w:szCs w:val="28"/>
          <w:u w:val="single"/>
          <w:lang w:val="en-US" w:eastAsia="zh-CN"/>
        </w:rPr>
        <w:t xml:space="preserve"> </w:t>
      </w:r>
      <w:r>
        <w:rPr>
          <w:rFonts w:hint="eastAsia" w:ascii="宋体" w:hAnsi="宋体" w:eastAsia="宋体" w:cs="宋体"/>
          <w:sz w:val="28"/>
          <w:szCs w:val="28"/>
        </w:rPr>
        <w:t>需要及乙方服务质量，甲方有权无条件中断或终止项目合同。</w:t>
      </w:r>
    </w:p>
    <w:p w14:paraId="6A98A2E8">
      <w:pPr>
        <w:pStyle w:val="8"/>
        <w:keepNext w:val="0"/>
        <w:keepLines w:val="0"/>
        <w:pageBreakBefore w:val="0"/>
        <w:widowControl/>
        <w:tabs>
          <w:tab w:val="left" w:pos="540"/>
        </w:tabs>
        <w:kinsoku/>
        <w:wordWrap/>
        <w:overflowPunct/>
        <w:topLinePunct w:val="0"/>
        <w:autoSpaceDE/>
        <w:autoSpaceDN/>
        <w:bidi w:val="0"/>
        <w:adjustRightInd w:val="0"/>
        <w:snapToGrid w:val="0"/>
        <w:spacing w:line="560" w:lineRule="exact"/>
        <w:ind w:firstLine="560" w:firstLineChars="200"/>
        <w:textAlignment w:val="auto"/>
        <w:rPr>
          <w:rFonts w:hAnsi="宋体"/>
          <w:sz w:val="28"/>
          <w:szCs w:val="28"/>
        </w:rPr>
      </w:pPr>
    </w:p>
    <w:p w14:paraId="5FAAEF73">
      <w:pPr>
        <w:pStyle w:val="14"/>
        <w:snapToGrid w:val="0"/>
        <w:ind w:right="32"/>
        <w:jc w:val="center"/>
        <w:rPr>
          <w:sz w:val="28"/>
          <w:szCs w:val="28"/>
        </w:rPr>
      </w:pPr>
    </w:p>
    <w:p w14:paraId="113C48F7">
      <w:pPr>
        <w:pStyle w:val="14"/>
        <w:snapToGrid w:val="0"/>
        <w:ind w:right="32"/>
        <w:jc w:val="both"/>
        <w:rPr>
          <w:sz w:val="28"/>
          <w:szCs w:val="28"/>
        </w:rPr>
      </w:pPr>
    </w:p>
    <w:p w14:paraId="32BCC480">
      <w:pPr>
        <w:pStyle w:val="14"/>
        <w:snapToGrid w:val="0"/>
        <w:ind w:leftChars="1000" w:right="34"/>
        <w:rPr>
          <w:rFonts w:hint="eastAsia"/>
          <w:sz w:val="28"/>
          <w:szCs w:val="28"/>
        </w:rPr>
      </w:pPr>
      <w:r>
        <w:rPr>
          <w:rFonts w:hint="eastAsia"/>
          <w:sz w:val="28"/>
          <w:szCs w:val="28"/>
        </w:rPr>
        <w:t>投标人法定代表人/负责人</w:t>
      </w:r>
    </w:p>
    <w:p w14:paraId="3034813B">
      <w:pPr>
        <w:pStyle w:val="14"/>
        <w:snapToGrid w:val="0"/>
        <w:ind w:leftChars="1000" w:right="34"/>
        <w:rPr>
          <w:sz w:val="28"/>
          <w:szCs w:val="28"/>
        </w:rPr>
      </w:pPr>
      <w:r>
        <w:rPr>
          <w:rFonts w:hint="eastAsia"/>
          <w:sz w:val="28"/>
          <w:szCs w:val="28"/>
        </w:rPr>
        <w:t>（或法定代表人/负责人授权代表）签字：</w:t>
      </w:r>
      <w:r>
        <w:rPr>
          <w:rFonts w:hint="eastAsia"/>
          <w:sz w:val="28"/>
          <w:szCs w:val="28"/>
          <w:u w:val="single"/>
        </w:rPr>
        <w:t xml:space="preserve">        </w:t>
      </w:r>
    </w:p>
    <w:p w14:paraId="7D22DD5D">
      <w:pPr>
        <w:pStyle w:val="14"/>
        <w:snapToGrid w:val="0"/>
        <w:ind w:leftChars="1000" w:right="34"/>
        <w:rPr>
          <w:sz w:val="28"/>
          <w:szCs w:val="28"/>
        </w:rPr>
      </w:pPr>
      <w:r>
        <w:rPr>
          <w:rFonts w:hint="eastAsia"/>
          <w:sz w:val="28"/>
          <w:szCs w:val="28"/>
        </w:rPr>
        <w:t>投标人名称（签章）：</w:t>
      </w:r>
      <w:r>
        <w:rPr>
          <w:rFonts w:hint="eastAsia"/>
          <w:sz w:val="28"/>
          <w:szCs w:val="28"/>
          <w:u w:val="single"/>
        </w:rPr>
        <w:t xml:space="preserve">                         </w:t>
      </w:r>
    </w:p>
    <w:p w14:paraId="6307F002">
      <w:pPr>
        <w:pStyle w:val="14"/>
        <w:snapToGrid w:val="0"/>
        <w:ind w:leftChars="1000" w:right="34"/>
        <w:rPr>
          <w:sz w:val="28"/>
          <w:szCs w:val="28"/>
        </w:rPr>
      </w:pPr>
      <w:r>
        <w:rPr>
          <w:rFonts w:hint="eastAsia"/>
          <w:sz w:val="28"/>
          <w:szCs w:val="28"/>
        </w:rPr>
        <w:t>日期：</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w:t>
      </w:r>
    </w:p>
    <w:p w14:paraId="0D3A7289">
      <w:pPr>
        <w:rPr>
          <w:rFonts w:ascii="宋体" w:hAnsi="宋体"/>
          <w:sz w:val="28"/>
          <w:szCs w:val="28"/>
        </w:rPr>
      </w:pPr>
    </w:p>
    <w:p w14:paraId="448FCA27">
      <w:pPr>
        <w:rPr>
          <w:rFonts w:hint="eastAsia" w:ascii="华文中宋" w:hAnsi="华文中宋" w:eastAsia="华文中宋"/>
          <w:b/>
          <w:bCs/>
          <w:sz w:val="32"/>
          <w:szCs w:val="32"/>
        </w:rPr>
      </w:pPr>
      <w:r>
        <w:rPr>
          <w:rFonts w:hint="eastAsia" w:ascii="华文中宋" w:hAnsi="华文中宋" w:eastAsia="华文中宋"/>
          <w:b/>
          <w:bCs/>
          <w:sz w:val="32"/>
          <w:szCs w:val="32"/>
        </w:rPr>
        <w:br w:type="page"/>
      </w:r>
    </w:p>
    <w:p w14:paraId="5FAA9F1B">
      <w:pPr>
        <w:pStyle w:val="8"/>
        <w:tabs>
          <w:tab w:val="left" w:pos="540"/>
        </w:tabs>
        <w:adjustRightInd w:val="0"/>
        <w:snapToGrid w:val="0"/>
        <w:outlineLvl w:val="1"/>
        <w:rPr>
          <w:rFonts w:hint="eastAsia" w:ascii="华文中宋" w:hAnsi="华文中宋" w:eastAsia="华文中宋"/>
          <w:b/>
          <w:bCs/>
          <w:sz w:val="32"/>
          <w:szCs w:val="32"/>
          <w:lang w:eastAsia="zh-CN"/>
        </w:rPr>
      </w:pPr>
      <w:r>
        <w:rPr>
          <w:rFonts w:hint="eastAsia" w:ascii="华文中宋" w:hAnsi="华文中宋" w:eastAsia="华文中宋"/>
          <w:b/>
          <w:bCs/>
          <w:sz w:val="32"/>
          <w:szCs w:val="32"/>
        </w:rPr>
        <w:t>附件</w:t>
      </w:r>
      <w:r>
        <w:rPr>
          <w:rFonts w:hint="eastAsia" w:ascii="华文中宋" w:hAnsi="华文中宋" w:eastAsia="华文中宋"/>
          <w:b/>
          <w:bCs/>
          <w:sz w:val="32"/>
          <w:szCs w:val="32"/>
          <w:lang w:val="en-US" w:eastAsia="zh-CN"/>
        </w:rPr>
        <w:t>四</w:t>
      </w:r>
    </w:p>
    <w:p w14:paraId="123E04EA"/>
    <w:p w14:paraId="659DAC81"/>
    <w:p w14:paraId="4703ECF9">
      <w:pPr>
        <w:pStyle w:val="4"/>
        <w:pageBreakBefore w:val="0"/>
        <w:kinsoku/>
        <w:wordWrap/>
        <w:overflowPunct/>
        <w:topLinePunct w:val="0"/>
        <w:bidi w:val="0"/>
        <w:spacing w:before="78" w:line="239" w:lineRule="auto"/>
        <w:ind w:left="40"/>
        <w:jc w:val="center"/>
        <w:rPr>
          <w:rFonts w:hint="eastAsia" w:ascii="宋体" w:hAnsi="宋体" w:eastAsia="宋体" w:cs="宋体"/>
          <w:b/>
          <w:bCs/>
          <w:color w:val="auto"/>
          <w:spacing w:val="-20"/>
          <w:sz w:val="32"/>
          <w:szCs w:val="32"/>
          <w:highlight w:val="none"/>
          <w:lang w:eastAsia="zh-CN"/>
        </w:rPr>
      </w:pPr>
      <w:r>
        <w:rPr>
          <w:rFonts w:hint="eastAsia" w:ascii="宋体" w:hAnsi="宋体" w:eastAsia="宋体" w:cs="宋体"/>
          <w:b/>
          <w:bCs/>
          <w:color w:val="auto"/>
          <w:spacing w:val="-20"/>
          <w:sz w:val="32"/>
          <w:szCs w:val="32"/>
          <w:highlight w:val="none"/>
          <w:lang w:eastAsia="zh-CN"/>
        </w:rPr>
        <w:t>报价一览表</w:t>
      </w:r>
    </w:p>
    <w:p w14:paraId="52371D42">
      <w:pPr>
        <w:pageBreakBefore w:val="0"/>
        <w:kinsoku/>
        <w:wordWrap/>
        <w:overflowPunct/>
        <w:topLinePunct w:val="0"/>
        <w:bidi w:val="0"/>
        <w:spacing w:line="402" w:lineRule="auto"/>
        <w:rPr>
          <w:rFonts w:hint="eastAsia" w:ascii="宋体" w:hAnsi="宋体" w:eastAsia="宋体" w:cs="宋体"/>
          <w:color w:val="auto"/>
          <w:sz w:val="21"/>
          <w:szCs w:val="21"/>
          <w:highlight w:val="none"/>
        </w:rPr>
      </w:pPr>
    </w:p>
    <w:p w14:paraId="167CDFB1">
      <w:pPr>
        <w:pStyle w:val="4"/>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项目名称：</w:t>
      </w:r>
      <w:r>
        <w:rPr>
          <w:rFonts w:hint="eastAsia" w:ascii="宋体" w:hAnsi="宋体" w:eastAsia="宋体" w:cs="宋体"/>
          <w:color w:val="auto"/>
          <w:spacing w:val="2"/>
          <w:sz w:val="22"/>
          <w:szCs w:val="22"/>
          <w:highlight w:val="none"/>
          <w:u w:val="single" w:color="auto"/>
          <w:lang w:eastAsia="zh-CN"/>
        </w:rPr>
        <w:t>中国人民警察大学（广州）视频会议系统及会议室音频系统采购项目</w:t>
      </w:r>
    </w:p>
    <w:p w14:paraId="2F05917D">
      <w:pPr>
        <w:pStyle w:val="4"/>
        <w:pageBreakBefore w:val="0"/>
        <w:kinsoku/>
        <w:wordWrap/>
        <w:overflowPunct/>
        <w:topLinePunct w:val="0"/>
        <w:bidi w:val="0"/>
        <w:spacing w:before="78" w:line="360" w:lineRule="auto"/>
        <w:rPr>
          <w:rFonts w:hint="eastAsia" w:ascii="宋体" w:hAnsi="宋体" w:eastAsia="宋体" w:cs="宋体"/>
          <w:color w:val="auto"/>
          <w:spacing w:val="-3"/>
          <w:sz w:val="22"/>
          <w:szCs w:val="22"/>
          <w:highlight w:val="none"/>
        </w:rPr>
      </w:pPr>
      <w:r>
        <w:rPr>
          <w:rFonts w:hint="eastAsia" w:ascii="宋体" w:hAnsi="宋体" w:eastAsia="宋体" w:cs="宋体"/>
          <w:color w:val="auto"/>
          <w:spacing w:val="-3"/>
          <w:sz w:val="22"/>
          <w:szCs w:val="22"/>
          <w:highlight w:val="none"/>
        </w:rPr>
        <w:t>项目编号：</w:t>
      </w:r>
      <w:r>
        <w:rPr>
          <w:rFonts w:hint="eastAsia" w:ascii="宋体" w:hAnsi="宋体" w:eastAsia="宋体" w:cs="宋体"/>
          <w:color w:val="auto"/>
          <w:sz w:val="22"/>
          <w:szCs w:val="22"/>
          <w:highlight w:val="none"/>
          <w:u w:val="single" w:color="auto"/>
          <w:lang w:eastAsia="zh-CN"/>
        </w:rPr>
        <w:t>GZGCCG-202605</w:t>
      </w:r>
      <w:r>
        <w:rPr>
          <w:rFonts w:hint="eastAsia" w:ascii="宋体" w:hAnsi="宋体" w:eastAsia="宋体" w:cs="宋体"/>
          <w:color w:val="auto"/>
          <w:sz w:val="22"/>
          <w:szCs w:val="22"/>
          <w:highlight w:val="none"/>
          <w:u w:val="single" w:color="auto"/>
          <w:lang w:val="en-US" w:eastAsia="zh-CN"/>
        </w:rPr>
        <w:t>8</w:t>
      </w:r>
    </w:p>
    <w:p w14:paraId="3B088868">
      <w:pPr>
        <w:pStyle w:val="4"/>
        <w:pageBreakBefore w:val="0"/>
        <w:kinsoku/>
        <w:wordWrap/>
        <w:overflowPunct/>
        <w:topLinePunct w:val="0"/>
        <w:bidi w:val="0"/>
        <w:spacing w:before="78" w:line="360" w:lineRule="auto"/>
        <w:rPr>
          <w:rFonts w:hint="eastAsia" w:ascii="宋体" w:hAnsi="宋体" w:eastAsia="宋体" w:cs="宋体"/>
          <w:color w:val="auto"/>
          <w:sz w:val="22"/>
          <w:szCs w:val="22"/>
          <w:highlight w:val="none"/>
          <w:lang w:eastAsia="zh-CN"/>
        </w:rPr>
      </w:pPr>
      <w:r>
        <w:rPr>
          <w:rFonts w:hint="eastAsia" w:ascii="宋体" w:hAnsi="宋体" w:eastAsia="宋体" w:cs="宋体"/>
          <w:color w:val="auto"/>
          <w:spacing w:val="-3"/>
          <w:sz w:val="22"/>
          <w:szCs w:val="22"/>
          <w:highlight w:val="none"/>
        </w:rPr>
        <w:t>报价单位：</w:t>
      </w:r>
      <w:r>
        <w:rPr>
          <w:rFonts w:hint="eastAsia" w:ascii="宋体" w:hAnsi="宋体" w:eastAsia="宋体" w:cs="宋体"/>
          <w:color w:val="auto"/>
          <w:spacing w:val="-3"/>
          <w:sz w:val="22"/>
          <w:szCs w:val="22"/>
          <w:highlight w:val="none"/>
          <w:u w:val="single" w:color="auto"/>
        </w:rPr>
        <w:t>人民币元</w:t>
      </w:r>
      <w:r>
        <w:rPr>
          <w:rFonts w:hint="eastAsia" w:ascii="宋体" w:hAnsi="宋体" w:eastAsia="宋体" w:cs="宋体"/>
          <w:color w:val="auto"/>
          <w:spacing w:val="-3"/>
          <w:sz w:val="22"/>
          <w:szCs w:val="22"/>
          <w:highlight w:val="none"/>
          <w:lang w:val="en-US" w:eastAsia="zh-CN"/>
        </w:rPr>
        <w:t xml:space="preserve">     </w:t>
      </w:r>
      <w:r>
        <w:rPr>
          <w:rFonts w:hint="eastAsia" w:ascii="宋体" w:hAnsi="宋体" w:eastAsia="宋体" w:cs="宋体"/>
          <w:color w:val="auto"/>
          <w:spacing w:val="-3"/>
          <w:sz w:val="22"/>
          <w:szCs w:val="22"/>
          <w:highlight w:val="none"/>
          <w:u w:val="none" w:color="auto"/>
          <w:lang w:val="en-US" w:eastAsia="zh-CN"/>
        </w:rPr>
        <w:t xml:space="preserve">                                            </w:t>
      </w:r>
    </w:p>
    <w:p w14:paraId="4D596D11">
      <w:pPr>
        <w:pageBreakBefore w:val="0"/>
        <w:kinsoku/>
        <w:wordWrap/>
        <w:overflowPunct/>
        <w:topLinePunct w:val="0"/>
        <w:bidi w:val="0"/>
        <w:spacing w:line="172" w:lineRule="exact"/>
        <w:rPr>
          <w:rFonts w:hint="eastAsia" w:ascii="宋体" w:hAnsi="宋体" w:eastAsia="宋体" w:cs="宋体"/>
          <w:color w:val="auto"/>
          <w:sz w:val="22"/>
          <w:szCs w:val="22"/>
          <w:highlight w:val="none"/>
        </w:rPr>
      </w:pPr>
    </w:p>
    <w:tbl>
      <w:tblPr>
        <w:tblStyle w:val="12"/>
        <w:tblW w:w="50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64"/>
        <w:gridCol w:w="2322"/>
        <w:gridCol w:w="2178"/>
        <w:gridCol w:w="2236"/>
        <w:gridCol w:w="888"/>
      </w:tblGrid>
      <w:tr w14:paraId="0613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7" w:hRule="atLeast"/>
          <w:jc w:val="center"/>
        </w:trPr>
        <w:tc>
          <w:tcPr>
            <w:tcW w:w="1183" w:type="pct"/>
            <w:vMerge w:val="restart"/>
            <w:tcBorders>
              <w:top w:val="single" w:color="auto" w:sz="4" w:space="0"/>
              <w:left w:val="single" w:color="auto" w:sz="4" w:space="0"/>
              <w:bottom w:val="single" w:color="auto" w:sz="4" w:space="0"/>
              <w:right w:val="single" w:color="auto" w:sz="4" w:space="0"/>
            </w:tcBorders>
            <w:noWrap w:val="0"/>
            <w:vAlign w:val="center"/>
          </w:tcPr>
          <w:p w14:paraId="159D958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Theme="minorEastAsia" w:hAnsiTheme="minorEastAsia" w:eastAsiaTheme="minorEastAsia" w:cstheme="minorEastAsia"/>
                <w:b/>
                <w:bCs/>
                <w:color w:val="auto"/>
                <w:sz w:val="21"/>
                <w:szCs w:val="21"/>
                <w:highlight w:val="none"/>
              </w:rPr>
              <w:t>报价项目</w:t>
            </w:r>
          </w:p>
        </w:tc>
        <w:tc>
          <w:tcPr>
            <w:tcW w:w="2252" w:type="pct"/>
            <w:gridSpan w:val="2"/>
            <w:tcBorders>
              <w:top w:val="single" w:color="auto" w:sz="4" w:space="0"/>
              <w:left w:val="single" w:color="auto" w:sz="4" w:space="0"/>
              <w:bottom w:val="single" w:color="auto" w:sz="4" w:space="0"/>
              <w:right w:val="single" w:color="auto" w:sz="4" w:space="0"/>
            </w:tcBorders>
            <w:noWrap w:val="0"/>
            <w:vAlign w:val="center"/>
          </w:tcPr>
          <w:p w14:paraId="479CF6F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报价</w:t>
            </w:r>
          </w:p>
        </w:tc>
        <w:tc>
          <w:tcPr>
            <w:tcW w:w="1119" w:type="pct"/>
            <w:vMerge w:val="restart"/>
            <w:tcBorders>
              <w:top w:val="single" w:color="auto" w:sz="4" w:space="0"/>
              <w:left w:val="single" w:color="auto" w:sz="4" w:space="0"/>
              <w:right w:val="single" w:color="auto" w:sz="4" w:space="0"/>
            </w:tcBorders>
            <w:noWrap w:val="0"/>
            <w:vAlign w:val="center"/>
          </w:tcPr>
          <w:p w14:paraId="0898ADA1">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lang w:eastAsia="zh-CN"/>
              </w:rPr>
            </w:pPr>
            <w:r>
              <w:rPr>
                <w:rFonts w:hint="eastAsia" w:ascii="宋体" w:hAnsi="宋体" w:eastAsia="宋体" w:cs="宋体"/>
                <w:b/>
                <w:color w:val="auto"/>
                <w:kern w:val="0"/>
                <w:sz w:val="22"/>
                <w:szCs w:val="22"/>
                <w:highlight w:val="none"/>
                <w:lang w:val="en-US" w:eastAsia="zh-CN"/>
              </w:rPr>
              <w:t>交货期</w:t>
            </w:r>
          </w:p>
        </w:tc>
        <w:tc>
          <w:tcPr>
            <w:tcW w:w="444" w:type="pct"/>
            <w:vMerge w:val="restart"/>
            <w:tcBorders>
              <w:top w:val="single" w:color="auto" w:sz="4" w:space="0"/>
              <w:left w:val="single" w:color="auto" w:sz="4" w:space="0"/>
              <w:right w:val="single" w:color="auto" w:sz="4" w:space="0"/>
            </w:tcBorders>
            <w:noWrap w:val="0"/>
            <w:vAlign w:val="center"/>
          </w:tcPr>
          <w:p w14:paraId="490E903B">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备注</w:t>
            </w:r>
          </w:p>
        </w:tc>
      </w:tr>
      <w:tr w14:paraId="5417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3" w:hRule="atLeast"/>
          <w:jc w:val="center"/>
        </w:trPr>
        <w:tc>
          <w:tcPr>
            <w:tcW w:w="1183" w:type="pct"/>
            <w:vMerge w:val="continue"/>
            <w:tcBorders>
              <w:top w:val="single" w:color="auto" w:sz="4" w:space="0"/>
              <w:left w:val="single" w:color="auto" w:sz="4" w:space="0"/>
              <w:bottom w:val="single" w:color="auto" w:sz="4" w:space="0"/>
              <w:right w:val="single" w:color="auto" w:sz="4" w:space="0"/>
            </w:tcBorders>
            <w:noWrap w:val="0"/>
            <w:vAlign w:val="center"/>
          </w:tcPr>
          <w:p w14:paraId="1D792166">
            <w:pPr>
              <w:keepNext w:val="0"/>
              <w:keepLines w:val="0"/>
              <w:pageBreakBefore w:val="0"/>
              <w:widowControl/>
              <w:kinsoku/>
              <w:wordWrap/>
              <w:overflowPunct/>
              <w:topLinePunct w:val="0"/>
              <w:autoSpaceDE/>
              <w:autoSpaceDN/>
              <w:bidi w:val="0"/>
              <w:adjustRightInd/>
              <w:snapToGrid/>
              <w:jc w:val="left"/>
              <w:textAlignment w:val="auto"/>
              <w:rPr>
                <w:rFonts w:hint="eastAsia" w:ascii="宋体" w:hAnsi="宋体" w:eastAsia="宋体" w:cs="宋体"/>
                <w:b/>
                <w:color w:val="auto"/>
                <w:kern w:val="0"/>
                <w:sz w:val="22"/>
                <w:szCs w:val="22"/>
                <w:highlight w:val="none"/>
              </w:rPr>
            </w:pPr>
          </w:p>
        </w:tc>
        <w:tc>
          <w:tcPr>
            <w:tcW w:w="1162" w:type="pct"/>
            <w:tcBorders>
              <w:top w:val="single" w:color="auto" w:sz="4" w:space="0"/>
              <w:left w:val="single" w:color="auto" w:sz="4" w:space="0"/>
              <w:bottom w:val="single" w:color="auto" w:sz="4" w:space="0"/>
              <w:right w:val="single" w:color="auto" w:sz="4" w:space="0"/>
            </w:tcBorders>
            <w:noWrap w:val="0"/>
            <w:vAlign w:val="center"/>
          </w:tcPr>
          <w:p w14:paraId="729EB2DE">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大写</w:t>
            </w:r>
          </w:p>
        </w:tc>
        <w:tc>
          <w:tcPr>
            <w:tcW w:w="1090" w:type="pct"/>
            <w:tcBorders>
              <w:top w:val="single" w:color="auto" w:sz="4" w:space="0"/>
              <w:left w:val="single" w:color="auto" w:sz="4" w:space="0"/>
              <w:bottom w:val="single" w:color="auto" w:sz="4" w:space="0"/>
              <w:right w:val="single" w:color="auto" w:sz="4" w:space="0"/>
            </w:tcBorders>
            <w:noWrap w:val="0"/>
            <w:vAlign w:val="center"/>
          </w:tcPr>
          <w:p w14:paraId="73FFFAE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r>
              <w:rPr>
                <w:rFonts w:hint="eastAsia" w:ascii="宋体" w:hAnsi="宋体" w:eastAsia="宋体" w:cs="宋体"/>
                <w:b/>
                <w:color w:val="auto"/>
                <w:kern w:val="0"/>
                <w:sz w:val="22"/>
                <w:szCs w:val="22"/>
                <w:highlight w:val="none"/>
              </w:rPr>
              <w:t>小写</w:t>
            </w:r>
          </w:p>
        </w:tc>
        <w:tc>
          <w:tcPr>
            <w:tcW w:w="1119" w:type="pct"/>
            <w:vMerge w:val="continue"/>
            <w:tcBorders>
              <w:left w:val="single" w:color="auto" w:sz="4" w:space="0"/>
              <w:bottom w:val="single" w:color="auto" w:sz="4" w:space="0"/>
              <w:right w:val="single" w:color="auto" w:sz="4" w:space="0"/>
            </w:tcBorders>
            <w:noWrap w:val="0"/>
            <w:vAlign w:val="center"/>
          </w:tcPr>
          <w:p w14:paraId="67228A54">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c>
          <w:tcPr>
            <w:tcW w:w="444" w:type="pct"/>
            <w:vMerge w:val="continue"/>
            <w:tcBorders>
              <w:left w:val="single" w:color="auto" w:sz="4" w:space="0"/>
              <w:bottom w:val="single" w:color="auto" w:sz="4" w:space="0"/>
              <w:right w:val="single" w:color="auto" w:sz="4" w:space="0"/>
            </w:tcBorders>
            <w:noWrap w:val="0"/>
            <w:vAlign w:val="center"/>
          </w:tcPr>
          <w:p w14:paraId="50A520F8">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b/>
                <w:color w:val="auto"/>
                <w:kern w:val="0"/>
                <w:sz w:val="22"/>
                <w:szCs w:val="22"/>
                <w:highlight w:val="none"/>
              </w:rPr>
            </w:pPr>
          </w:p>
        </w:tc>
      </w:tr>
      <w:tr w14:paraId="073BF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0" w:hRule="atLeast"/>
          <w:jc w:val="center"/>
        </w:trPr>
        <w:tc>
          <w:tcPr>
            <w:tcW w:w="1183" w:type="pct"/>
            <w:tcBorders>
              <w:top w:val="single" w:color="auto" w:sz="4" w:space="0"/>
              <w:left w:val="single" w:color="auto" w:sz="4" w:space="0"/>
              <w:right w:val="single" w:color="auto" w:sz="4" w:space="0"/>
            </w:tcBorders>
            <w:noWrap w:val="0"/>
            <w:vAlign w:val="center"/>
          </w:tcPr>
          <w:p w14:paraId="195E1F3D">
            <w:pPr>
              <w:pageBreakBefore w:val="0"/>
              <w:tabs>
                <w:tab w:val="left" w:pos="312"/>
              </w:tabs>
              <w:kinsoku/>
              <w:wordWrap/>
              <w:overflowPunct/>
              <w:topLinePunct w:val="0"/>
              <w:bidi w:val="0"/>
              <w:jc w:val="center"/>
              <w:rPr>
                <w:rFonts w:hint="eastAsia" w:ascii="宋体" w:hAnsi="宋体" w:eastAsia="宋体" w:cs="宋体"/>
                <w:color w:val="auto"/>
                <w:kern w:val="0"/>
                <w:sz w:val="22"/>
                <w:szCs w:val="22"/>
                <w:highlight w:val="none"/>
              </w:rPr>
            </w:pPr>
          </w:p>
        </w:tc>
        <w:tc>
          <w:tcPr>
            <w:tcW w:w="1162" w:type="pct"/>
            <w:tcBorders>
              <w:top w:val="single" w:color="auto" w:sz="4" w:space="0"/>
              <w:left w:val="single" w:color="auto" w:sz="4" w:space="0"/>
              <w:right w:val="single" w:color="auto" w:sz="4" w:space="0"/>
            </w:tcBorders>
            <w:noWrap w:val="0"/>
            <w:vAlign w:val="center"/>
          </w:tcPr>
          <w:p w14:paraId="0C306FD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090" w:type="pct"/>
            <w:tcBorders>
              <w:top w:val="single" w:color="auto" w:sz="4" w:space="0"/>
              <w:left w:val="single" w:color="auto" w:sz="4" w:space="0"/>
              <w:bottom w:val="single" w:color="auto" w:sz="4" w:space="0"/>
              <w:right w:val="single" w:color="auto" w:sz="4" w:space="0"/>
            </w:tcBorders>
            <w:noWrap w:val="0"/>
            <w:vAlign w:val="center"/>
          </w:tcPr>
          <w:p w14:paraId="22B8148A">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1119" w:type="pct"/>
            <w:tcBorders>
              <w:top w:val="single" w:color="auto" w:sz="4" w:space="0"/>
              <w:left w:val="single" w:color="auto" w:sz="4" w:space="0"/>
              <w:right w:val="single" w:color="auto" w:sz="4" w:space="0"/>
            </w:tcBorders>
            <w:noWrap w:val="0"/>
            <w:vAlign w:val="center"/>
          </w:tcPr>
          <w:p w14:paraId="5D2FE927">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c>
          <w:tcPr>
            <w:tcW w:w="444" w:type="pct"/>
            <w:tcBorders>
              <w:top w:val="single" w:color="auto" w:sz="4" w:space="0"/>
              <w:left w:val="single" w:color="auto" w:sz="4" w:space="0"/>
              <w:right w:val="single" w:color="auto" w:sz="4" w:space="0"/>
            </w:tcBorders>
            <w:noWrap w:val="0"/>
            <w:vAlign w:val="center"/>
          </w:tcPr>
          <w:p w14:paraId="379180A6">
            <w:pPr>
              <w:keepNext w:val="0"/>
              <w:keepLines w:val="0"/>
              <w:pageBreakBefore w:val="0"/>
              <w:widowControl/>
              <w:tabs>
                <w:tab w:val="left" w:pos="5580"/>
              </w:tabs>
              <w:kinsoku/>
              <w:wordWrap/>
              <w:overflowPunct/>
              <w:topLinePunct w:val="0"/>
              <w:autoSpaceDE/>
              <w:autoSpaceDN/>
              <w:bidi w:val="0"/>
              <w:adjustRightInd/>
              <w:snapToGrid/>
              <w:jc w:val="center"/>
              <w:textAlignment w:val="auto"/>
              <w:rPr>
                <w:rFonts w:hint="eastAsia" w:ascii="宋体" w:hAnsi="宋体" w:eastAsia="宋体" w:cs="宋体"/>
                <w:color w:val="auto"/>
                <w:kern w:val="0"/>
                <w:sz w:val="22"/>
                <w:szCs w:val="22"/>
                <w:highlight w:val="none"/>
              </w:rPr>
            </w:pPr>
          </w:p>
        </w:tc>
      </w:tr>
    </w:tbl>
    <w:p w14:paraId="2EDAD530">
      <w:pPr>
        <w:pStyle w:val="4"/>
        <w:pageBreakBefore w:val="0"/>
        <w:kinsoku/>
        <w:wordWrap/>
        <w:overflowPunct/>
        <w:topLinePunct w:val="0"/>
        <w:bidi w:val="0"/>
        <w:spacing w:before="78" w:line="383" w:lineRule="auto"/>
        <w:ind w:right="275"/>
        <w:rPr>
          <w:rFonts w:hint="eastAsia" w:ascii="宋体" w:hAnsi="宋体" w:eastAsia="宋体" w:cs="宋体"/>
          <w:color w:val="auto"/>
          <w:spacing w:val="-2"/>
          <w:sz w:val="22"/>
          <w:szCs w:val="22"/>
          <w:highlight w:val="none"/>
          <w:lang w:eastAsia="zh-CN"/>
        </w:rPr>
      </w:pPr>
      <w:r>
        <w:rPr>
          <w:rFonts w:hint="eastAsia" w:ascii="宋体" w:hAnsi="宋体" w:eastAsia="宋体" w:cs="宋体"/>
          <w:color w:val="auto"/>
          <w:spacing w:val="-3"/>
          <w:sz w:val="22"/>
          <w:szCs w:val="22"/>
          <w:highlight w:val="none"/>
        </w:rPr>
        <w:t>注：1.此表中，此报价包括</w:t>
      </w:r>
      <w:r>
        <w:rPr>
          <w:rFonts w:hint="eastAsia" w:ascii="宋体" w:hAnsi="宋体" w:eastAsia="宋体" w:cs="宋体"/>
          <w:color w:val="auto"/>
          <w:spacing w:val="-3"/>
          <w:sz w:val="22"/>
          <w:szCs w:val="22"/>
          <w:highlight w:val="none"/>
          <w:lang w:val="en-US" w:eastAsia="zh-CN"/>
        </w:rPr>
        <w:t>采购需求</w:t>
      </w:r>
      <w:r>
        <w:rPr>
          <w:rFonts w:hint="eastAsia" w:ascii="宋体" w:hAnsi="宋体" w:eastAsia="宋体" w:cs="宋体"/>
          <w:color w:val="auto"/>
          <w:spacing w:val="-3"/>
          <w:sz w:val="22"/>
          <w:szCs w:val="22"/>
          <w:highlight w:val="none"/>
          <w:lang w:eastAsia="zh-CN"/>
        </w:rPr>
        <w:t>文件</w:t>
      </w:r>
      <w:r>
        <w:rPr>
          <w:rFonts w:hint="eastAsia" w:ascii="宋体" w:hAnsi="宋体" w:eastAsia="宋体" w:cs="宋体"/>
          <w:color w:val="auto"/>
          <w:spacing w:val="-3"/>
          <w:sz w:val="22"/>
          <w:szCs w:val="22"/>
          <w:highlight w:val="none"/>
        </w:rPr>
        <w:t>中要求的全部费用</w:t>
      </w:r>
      <w:r>
        <w:rPr>
          <w:rFonts w:hint="eastAsia" w:ascii="宋体" w:hAnsi="宋体" w:eastAsia="宋体" w:cs="宋体"/>
          <w:color w:val="auto"/>
          <w:spacing w:val="-3"/>
          <w:sz w:val="22"/>
          <w:szCs w:val="22"/>
          <w:highlight w:val="none"/>
          <w:lang w:eastAsia="zh-CN"/>
        </w:rPr>
        <w:t>。</w:t>
      </w:r>
    </w:p>
    <w:p w14:paraId="56C728F7">
      <w:pPr>
        <w:pStyle w:val="4"/>
        <w:pageBreakBefore w:val="0"/>
        <w:kinsoku/>
        <w:wordWrap/>
        <w:overflowPunct/>
        <w:topLinePunct w:val="0"/>
        <w:bidi w:val="0"/>
        <w:spacing w:before="78" w:line="383" w:lineRule="auto"/>
        <w:ind w:right="275" w:firstLine="428" w:firstLineChars="200"/>
        <w:rPr>
          <w:rFonts w:hint="eastAsia" w:ascii="宋体" w:hAnsi="宋体" w:eastAsia="宋体" w:cs="宋体"/>
          <w:color w:val="auto"/>
          <w:sz w:val="22"/>
          <w:szCs w:val="22"/>
          <w:highlight w:val="none"/>
        </w:rPr>
      </w:pPr>
      <w:r>
        <w:rPr>
          <w:rFonts w:hint="eastAsia" w:ascii="宋体" w:hAnsi="宋体" w:eastAsia="宋体" w:cs="宋体"/>
          <w:color w:val="auto"/>
          <w:spacing w:val="-3"/>
          <w:sz w:val="22"/>
          <w:szCs w:val="22"/>
          <w:highlight w:val="none"/>
        </w:rPr>
        <w:t>2.所有价格均以人民币作为货币单位填写及计算。</w:t>
      </w:r>
    </w:p>
    <w:p w14:paraId="05710F9F">
      <w:pPr>
        <w:pageBreakBefore w:val="0"/>
        <w:kinsoku/>
        <w:wordWrap/>
        <w:overflowPunct/>
        <w:topLinePunct w:val="0"/>
        <w:bidi w:val="0"/>
        <w:spacing w:line="249" w:lineRule="auto"/>
        <w:rPr>
          <w:rFonts w:hint="eastAsia" w:ascii="宋体" w:hAnsi="宋体" w:eastAsia="宋体" w:cs="宋体"/>
          <w:color w:val="auto"/>
          <w:sz w:val="22"/>
          <w:szCs w:val="22"/>
          <w:highlight w:val="none"/>
        </w:rPr>
      </w:pPr>
    </w:p>
    <w:p w14:paraId="21158075">
      <w:pPr>
        <w:pageBreakBefore w:val="0"/>
        <w:kinsoku/>
        <w:wordWrap/>
        <w:overflowPunct/>
        <w:topLinePunct w:val="0"/>
        <w:bidi w:val="0"/>
        <w:spacing w:line="250" w:lineRule="auto"/>
        <w:rPr>
          <w:rFonts w:hint="eastAsia" w:ascii="宋体" w:hAnsi="宋体" w:eastAsia="宋体" w:cs="宋体"/>
          <w:color w:val="auto"/>
          <w:sz w:val="22"/>
          <w:szCs w:val="22"/>
          <w:highlight w:val="none"/>
        </w:rPr>
      </w:pPr>
    </w:p>
    <w:p w14:paraId="411B08F5">
      <w:pPr>
        <w:outlineLvl w:val="9"/>
        <w:rPr>
          <w:rFonts w:hint="eastAsia" w:ascii="宋体" w:hAnsi="宋体" w:eastAsia="宋体" w:cs="宋体"/>
          <w:color w:val="auto"/>
          <w:sz w:val="22"/>
          <w:szCs w:val="22"/>
          <w:highlight w:val="none"/>
        </w:rPr>
      </w:pPr>
    </w:p>
    <w:p w14:paraId="0671522D">
      <w:pPr>
        <w:rPr>
          <w:rFonts w:hint="eastAsia"/>
        </w:rPr>
      </w:pPr>
    </w:p>
    <w:p w14:paraId="2876CDBD">
      <w:pPr>
        <w:pStyle w:val="14"/>
        <w:snapToGrid w:val="0"/>
        <w:ind w:leftChars="1000" w:right="34"/>
        <w:rPr>
          <w:sz w:val="28"/>
          <w:szCs w:val="28"/>
        </w:rPr>
      </w:pPr>
      <w:r>
        <w:rPr>
          <w:rFonts w:hint="eastAsia"/>
          <w:sz w:val="28"/>
          <w:szCs w:val="28"/>
        </w:rPr>
        <w:t>投标人名称（签章）：</w:t>
      </w:r>
      <w:r>
        <w:rPr>
          <w:rFonts w:hint="eastAsia"/>
          <w:sz w:val="28"/>
          <w:szCs w:val="28"/>
          <w:u w:val="single"/>
        </w:rPr>
        <w:t xml:space="preserve">                         </w:t>
      </w:r>
    </w:p>
    <w:p w14:paraId="1B369ABD">
      <w:pPr>
        <w:pStyle w:val="14"/>
        <w:snapToGrid w:val="0"/>
        <w:ind w:leftChars="1000" w:right="34"/>
        <w:rPr>
          <w:sz w:val="28"/>
          <w:szCs w:val="28"/>
        </w:rPr>
      </w:pPr>
      <w:r>
        <w:rPr>
          <w:rFonts w:hint="eastAsia"/>
          <w:sz w:val="28"/>
          <w:szCs w:val="28"/>
        </w:rPr>
        <w:t>日期：</w:t>
      </w:r>
      <w:r>
        <w:rPr>
          <w:rFonts w:hint="eastAsia"/>
          <w:sz w:val="28"/>
          <w:szCs w:val="28"/>
          <w:u w:val="single"/>
        </w:rPr>
        <w:t xml:space="preserve">      </w:t>
      </w:r>
      <w:r>
        <w:rPr>
          <w:rFonts w:hint="eastAsia"/>
          <w:sz w:val="28"/>
          <w:szCs w:val="28"/>
        </w:rPr>
        <w:t>年</w:t>
      </w:r>
      <w:r>
        <w:rPr>
          <w:rFonts w:hint="eastAsia"/>
          <w:sz w:val="28"/>
          <w:szCs w:val="28"/>
          <w:u w:val="single"/>
        </w:rPr>
        <w:t xml:space="preserve">      </w:t>
      </w:r>
      <w:r>
        <w:rPr>
          <w:rFonts w:hint="eastAsia"/>
          <w:sz w:val="28"/>
          <w:szCs w:val="28"/>
        </w:rPr>
        <w:t>月</w:t>
      </w:r>
      <w:r>
        <w:rPr>
          <w:rFonts w:hint="eastAsia"/>
          <w:sz w:val="28"/>
          <w:szCs w:val="28"/>
          <w:u w:val="single"/>
        </w:rPr>
        <w:t xml:space="preserve">      </w:t>
      </w:r>
      <w:r>
        <w:rPr>
          <w:rFonts w:hint="eastAsia"/>
          <w:sz w:val="28"/>
          <w:szCs w:val="28"/>
        </w:rPr>
        <w:t>日</w:t>
      </w:r>
    </w:p>
    <w:p w14:paraId="6F62A3E0">
      <w:pPr>
        <w:pageBreakBefore w:val="0"/>
        <w:kinsoku/>
        <w:wordWrap/>
        <w:overflowPunct/>
        <w:topLinePunct w:val="0"/>
        <w:bidi w:val="0"/>
        <w:spacing w:line="239" w:lineRule="auto"/>
        <w:rPr>
          <w:rFonts w:hint="eastAsia" w:ascii="宋体" w:hAnsi="宋体" w:eastAsia="宋体" w:cs="宋体"/>
          <w:color w:val="auto"/>
          <w:sz w:val="21"/>
          <w:szCs w:val="21"/>
          <w:highlight w:val="none"/>
        </w:rPr>
        <w:sectPr>
          <w:footerReference r:id="rId3" w:type="default"/>
          <w:pgSz w:w="11905" w:h="16838"/>
          <w:pgMar w:top="1332" w:right="1020" w:bottom="1332" w:left="1020" w:header="0" w:footer="850" w:gutter="0"/>
          <w:pgBorders>
            <w:top w:val="none" w:sz="0" w:space="0"/>
            <w:left w:val="none" w:sz="0" w:space="0"/>
            <w:bottom w:val="none" w:sz="0" w:space="0"/>
            <w:right w:val="none" w:sz="0" w:space="0"/>
          </w:pgBorders>
          <w:pgNumType w:fmt="decimal"/>
          <w:cols w:space="0" w:num="1"/>
          <w:rtlGutter w:val="0"/>
          <w:docGrid w:linePitch="0" w:charSpace="0"/>
        </w:sectPr>
      </w:pPr>
    </w:p>
    <w:p w14:paraId="4E071243">
      <w:pPr>
        <w:pStyle w:val="8"/>
        <w:tabs>
          <w:tab w:val="left" w:pos="540"/>
        </w:tabs>
        <w:adjustRightInd w:val="0"/>
        <w:snapToGrid w:val="0"/>
        <w:outlineLvl w:val="1"/>
        <w:rPr>
          <w:rFonts w:hint="eastAsia" w:ascii="华文中宋" w:hAnsi="华文中宋" w:eastAsia="华文中宋"/>
          <w:b/>
          <w:bCs/>
          <w:sz w:val="32"/>
          <w:szCs w:val="32"/>
          <w:lang w:eastAsia="zh-CN"/>
        </w:rPr>
      </w:pPr>
      <w:r>
        <w:rPr>
          <w:rFonts w:hint="eastAsia" w:ascii="华文中宋" w:hAnsi="华文中宋" w:eastAsia="华文中宋"/>
          <w:b/>
          <w:bCs/>
          <w:sz w:val="32"/>
          <w:szCs w:val="32"/>
        </w:rPr>
        <w:t>附件</w:t>
      </w:r>
      <w:r>
        <w:rPr>
          <w:rFonts w:hint="eastAsia" w:ascii="华文中宋" w:hAnsi="华文中宋" w:eastAsia="华文中宋"/>
          <w:b/>
          <w:bCs/>
          <w:sz w:val="32"/>
          <w:szCs w:val="32"/>
          <w:lang w:val="en-US" w:eastAsia="zh-CN"/>
        </w:rPr>
        <w:t>五</w:t>
      </w:r>
    </w:p>
    <w:p w14:paraId="39FC2C5E">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中小企业声明函（所投产品制造商为中小企业时提交本函，所属行业应符合</w:t>
      </w:r>
      <w:r>
        <w:rPr>
          <w:rFonts w:hint="eastAsia" w:asciiTheme="minorEastAsia" w:hAnsiTheme="minorEastAsia" w:eastAsiaTheme="minorEastAsia" w:cstheme="minorEastAsia"/>
          <w:sz w:val="21"/>
          <w:szCs w:val="21"/>
          <w:lang w:eastAsia="zh-CN"/>
        </w:rPr>
        <w:t>采购需求文件</w:t>
      </w:r>
      <w:r>
        <w:rPr>
          <w:rFonts w:hint="eastAsia" w:asciiTheme="minorEastAsia" w:hAnsiTheme="minorEastAsia" w:eastAsiaTheme="minorEastAsia" w:cstheme="minorEastAsia"/>
          <w:sz w:val="21"/>
          <w:szCs w:val="21"/>
        </w:rPr>
        <w:t>中明确的本项目所属行业）</w:t>
      </w:r>
    </w:p>
    <w:p w14:paraId="359EA35F">
      <w:pPr>
        <w:pStyle w:val="17"/>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中小企业声明函（货物）</w:t>
      </w:r>
    </w:p>
    <w:p w14:paraId="2F5FC285">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本公司（联合体）郑重声明，根据《政府采购促进中小企业发展管理办法》（财库﹝2020﹞46 号）的规定，本公司（联合体）参加</w:t>
      </w:r>
      <w:r>
        <w:rPr>
          <w:rFonts w:hint="eastAsia" w:asciiTheme="minorEastAsia" w:hAnsiTheme="minorEastAsia" w:eastAsiaTheme="minorEastAsia" w:cstheme="minorEastAsia"/>
          <w:sz w:val="21"/>
          <w:szCs w:val="21"/>
          <w:u w:val="single"/>
        </w:rPr>
        <w:t>（项目名称）</w:t>
      </w:r>
      <w:r>
        <w:rPr>
          <w:rFonts w:hint="eastAsia" w:asciiTheme="minorEastAsia" w:hAnsiTheme="minorEastAsia" w:eastAsiaTheme="minorEastAsia" w:cstheme="minorEastAsia"/>
          <w:sz w:val="21"/>
          <w:szCs w:val="21"/>
        </w:rPr>
        <w:t>采购活动，提供的货物全部由符合政策要求的中小企业制造。相关企业（含联合体中的中小企业、签订分包意向协议的中小企业）的具体情况如下：</w:t>
      </w:r>
    </w:p>
    <w:p w14:paraId="31EC29CB">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1.</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eastAsia="zh-CN"/>
        </w:rPr>
        <w:t>产品名称</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sz w:val="21"/>
          <w:szCs w:val="21"/>
          <w:u w:val="single"/>
          <w:lang w:eastAsia="zh-CN"/>
        </w:rPr>
        <w:t>工业</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sz w:val="21"/>
          <w:szCs w:val="21"/>
          <w:u w:val="single"/>
        </w:rPr>
        <w:t>（企业名称）</w:t>
      </w:r>
      <w:r>
        <w:rPr>
          <w:rFonts w:hint="eastAsia" w:asciiTheme="minorEastAsia" w:hAnsiTheme="minorEastAsia" w:eastAsiaTheme="minorEastAsia" w:cstheme="minorEastAsia"/>
          <w:sz w:val="21"/>
          <w:szCs w:val="21"/>
        </w:rPr>
        <w:t>，从业人员__________________人，营业收入为__________________万元，资产总额为__________________万元1，属于（中型企业、小型企业、微型企业）；</w:t>
      </w:r>
    </w:p>
    <w:p w14:paraId="0CADFF9A">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u w:val="single"/>
          <w:lang w:eastAsia="zh-CN"/>
        </w:rPr>
        <w:t>产品名称</w:t>
      </w:r>
      <w:r>
        <w:rPr>
          <w:rFonts w:hint="eastAsia" w:asciiTheme="minorEastAsia" w:hAnsiTheme="minorEastAsia" w:eastAsiaTheme="minorEastAsia" w:cstheme="minorEastAsia"/>
          <w:sz w:val="21"/>
          <w:szCs w:val="21"/>
          <w:u w:val="single"/>
        </w:rPr>
        <w:t>）</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sz w:val="21"/>
          <w:szCs w:val="21"/>
          <w:u w:val="single"/>
          <w:lang w:eastAsia="zh-CN"/>
        </w:rPr>
        <w:t>工业</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sz w:val="21"/>
          <w:szCs w:val="21"/>
          <w:u w:val="single"/>
        </w:rPr>
        <w:t>（企业名称）</w:t>
      </w:r>
      <w:r>
        <w:rPr>
          <w:rFonts w:hint="eastAsia" w:asciiTheme="minorEastAsia" w:hAnsiTheme="minorEastAsia" w:eastAsiaTheme="minorEastAsia" w:cstheme="minorEastAsia"/>
          <w:sz w:val="21"/>
          <w:szCs w:val="21"/>
        </w:rPr>
        <w:t>，从业人员__________________人，营业收入为__________________万元，资产总额为__________________万元1，属于（中型企业、小型企业、微型企业）；</w:t>
      </w:r>
    </w:p>
    <w:p w14:paraId="0E323B73">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p w14:paraId="57463427">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以上企业，不属于大企业的分支机构，不存在控股股东为大企业的情形，也不存在与大企业的负责人为同一人的情形。</w:t>
      </w:r>
    </w:p>
    <w:p w14:paraId="7F25BE2C">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本企业对上述声明内容的真实性负责。如有虚假，将依法承担相应责任。</w:t>
      </w:r>
    </w:p>
    <w:p w14:paraId="3992E590">
      <w:pPr>
        <w:pStyle w:val="17"/>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企业名称（盖章）：__________________</w:t>
      </w:r>
    </w:p>
    <w:p w14:paraId="3BBB02F3">
      <w:pPr>
        <w:pStyle w:val="17"/>
        <w:keepNext w:val="0"/>
        <w:keepLines w:val="0"/>
        <w:pageBreakBefore w:val="0"/>
        <w:widowControl/>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日  期：__________________</w:t>
      </w:r>
    </w:p>
    <w:p w14:paraId="343C657F">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1：从业人员、营业收入、资产总额填报上一年度数据，无上一年度数据的新成立企业可不填报。</w:t>
      </w:r>
    </w:p>
    <w:p w14:paraId="4A0DB8C3">
      <w:pPr>
        <w:pStyle w:val="17"/>
        <w:keepNext w:val="0"/>
        <w:keepLines w:val="0"/>
        <w:pageBreakBefore w:val="0"/>
        <w:widowControl/>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 2：供应商应当对其出具的《中小企业声明函》真实性负责，供应商出具的《中小企业声明函》内容不实的，属于提供虚假材料谋取成交。在实际操作中，供应商希望获得中小企业扶持政策支持的，应从制造商处获得充分、准确的信息。对相关制造商信息了解不充分，或者不能确定相关信息真实、准确的，不建议出具《中小企业声明函》。</w:t>
      </w:r>
    </w:p>
    <w:p w14:paraId="11008B3E">
      <w:pPr>
        <w:pStyle w:val="17"/>
        <w:ind w:firstLine="480"/>
      </w:pPr>
      <w:r>
        <w:t xml:space="preserve">  </w:t>
      </w:r>
    </w:p>
    <w:p w14:paraId="526C699A">
      <w:pPr>
        <w:pStyle w:val="6"/>
        <w:rPr>
          <w:rFonts w:hint="eastAsia"/>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swiss"/>
    <w:pitch w:val="default"/>
    <w:sig w:usb0="00000000" w:usb1="00000000" w:usb2="00000000" w:usb3="00000000" w:csb0="00040000" w:csb1="00000000"/>
  </w:font>
  <w:font w:name="DejaVu Sans">
    <w:altName w:val="Cascadia Mono SemiLight"/>
    <w:panose1 w:val="020B0603030804020204"/>
    <w:charset w:val="00"/>
    <w:family w:val="auto"/>
    <w:pitch w:val="default"/>
    <w:sig w:usb0="00000000" w:usb1="00000000" w:usb2="0A246029" w:usb3="0400200C" w:csb0="600001FF" w:csb1="DFFF0000"/>
  </w:font>
  <w:font w:name="Cascadia Mono SemiLight">
    <w:panose1 w:val="020B0609020000020004"/>
    <w:charset w:val="00"/>
    <w:family w:val="auto"/>
    <w:pitch w:val="default"/>
    <w:sig w:usb0="A1002AFF" w:usb1="C200F9FB" w:usb2="00040020" w:usb3="00000000" w:csb0="600001FF" w:csb1="FFFF0000"/>
  </w:font>
  <w:font w:name="华文中宋">
    <w:altName w:val="宋体"/>
    <w:panose1 w:val="02010600040101010101"/>
    <w:charset w:val="86"/>
    <w:family w:val="auto"/>
    <w:pitch w:val="default"/>
    <w:sig w:usb0="00000000" w:usb1="0000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A3D6F">
    <w:pPr>
      <w:spacing w:line="172" w:lineRule="auto"/>
      <w:ind w:left="4349"/>
      <w:rPr>
        <w:rFonts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A5D50">
                          <w:pPr>
                            <w:pStyle w:val="9"/>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32A5D50">
                    <w:pPr>
                      <w:pStyle w:val="9"/>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7AE14"/>
    <w:multiLevelType w:val="singleLevel"/>
    <w:tmpl w:val="9597AE14"/>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FFEE6A"/>
    <w:rsid w:val="0E2B0D1B"/>
    <w:rsid w:val="116E71BD"/>
    <w:rsid w:val="1A4F66F6"/>
    <w:rsid w:val="2060064C"/>
    <w:rsid w:val="21D07B1D"/>
    <w:rsid w:val="22216732"/>
    <w:rsid w:val="245D1A72"/>
    <w:rsid w:val="281A4C7C"/>
    <w:rsid w:val="44B2082A"/>
    <w:rsid w:val="475C0A15"/>
    <w:rsid w:val="527D3234"/>
    <w:rsid w:val="55CD4B49"/>
    <w:rsid w:val="5BFE2588"/>
    <w:rsid w:val="6DEB6AF4"/>
    <w:rsid w:val="72AA3D29"/>
    <w:rsid w:val="7F9BDF04"/>
    <w:rsid w:val="7FFF175F"/>
    <w:rsid w:val="BD4F67DC"/>
    <w:rsid w:val="DBEFA825"/>
    <w:rsid w:val="EB9478F9"/>
    <w:rsid w:val="EF376A19"/>
    <w:rsid w:val="F1BEE142"/>
    <w:rsid w:val="FEE75B90"/>
    <w:rsid w:val="FFFADF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kern w:val="2"/>
      <w:sz w:val="21"/>
      <w:szCs w:val="20"/>
      <w:lang w:val="en-US" w:eastAsia="zh-CN" w:bidi="ar-SA"/>
    </w:rPr>
  </w:style>
  <w:style w:type="paragraph" w:styleId="2">
    <w:name w:val="heading 4"/>
    <w:basedOn w:val="1"/>
    <w:next w:val="1"/>
    <w:qFormat/>
    <w:uiPriority w:val="9"/>
    <w:pPr>
      <w:keepNext/>
      <w:keepLines/>
      <w:spacing w:before="120" w:after="120"/>
      <w:outlineLvl w:val="3"/>
    </w:pPr>
    <w:rPr>
      <w:rFonts w:ascii="Arial" w:hAnsi="Arial" w:eastAsia="黑体"/>
      <w:b/>
      <w:sz w:val="28"/>
    </w:rPr>
  </w:style>
  <w:style w:type="character" w:default="1" w:styleId="13">
    <w:name w:val="Default Paragraph Font"/>
    <w:semiHidden/>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spacing w:after="200" w:line="252" w:lineRule="auto"/>
      <w:ind w:firstLine="420"/>
    </w:pPr>
    <w:rPr>
      <w:rFonts w:ascii="Cambria" w:hAnsi="Cambria" w:eastAsia="宋体" w:cs="Times New Roman"/>
      <w:sz w:val="22"/>
      <w:szCs w:val="22"/>
    </w:rPr>
  </w:style>
  <w:style w:type="paragraph" w:styleId="4">
    <w:name w:val="Body Text"/>
    <w:basedOn w:val="1"/>
    <w:qFormat/>
    <w:uiPriority w:val="0"/>
    <w:rPr>
      <w:rFonts w:ascii="仿宋" w:hAnsi="仿宋" w:eastAsia="仿宋" w:cs="仿宋"/>
      <w:sz w:val="35"/>
      <w:szCs w:val="35"/>
      <w:lang w:val="en-US" w:eastAsia="en-US" w:bidi="ar-SA"/>
    </w:rPr>
  </w:style>
  <w:style w:type="paragraph" w:styleId="5">
    <w:name w:val="Body Text Indent"/>
    <w:basedOn w:val="1"/>
    <w:next w:val="6"/>
    <w:unhideWhenUsed/>
    <w:qFormat/>
    <w:uiPriority w:val="99"/>
    <w:pPr>
      <w:spacing w:after="120"/>
      <w:ind w:left="420"/>
    </w:pPr>
  </w:style>
  <w:style w:type="paragraph" w:styleId="6">
    <w:name w:val="Body Text First Indent 2"/>
    <w:basedOn w:val="5"/>
    <w:next w:val="7"/>
    <w:unhideWhenUsed/>
    <w:qFormat/>
    <w:uiPriority w:val="99"/>
    <w:pPr>
      <w:tabs>
        <w:tab w:val="left" w:pos="8280"/>
      </w:tabs>
      <w:spacing w:after="0" w:line="360" w:lineRule="auto"/>
      <w:ind w:left="0" w:firstLine="420" w:firstLineChars="200"/>
    </w:pPr>
    <w:rPr>
      <w:rFonts w:ascii="仿宋_GB2312" w:eastAsia="仿宋_GB2312"/>
      <w:sz w:val="24"/>
    </w:rPr>
  </w:style>
  <w:style w:type="paragraph" w:styleId="7">
    <w:name w:val="Body Text First Indent"/>
    <w:basedOn w:val="4"/>
    <w:next w:val="6"/>
    <w:qFormat/>
    <w:uiPriority w:val="0"/>
    <w:pPr>
      <w:kinsoku w:val="0"/>
      <w:autoSpaceDE w:val="0"/>
      <w:autoSpaceDN w:val="0"/>
      <w:adjustRightInd/>
      <w:snapToGrid/>
      <w:spacing w:before="0" w:after="120" w:line="240" w:lineRule="auto"/>
      <w:ind w:left="0" w:right="0" w:firstLine="420"/>
      <w:jc w:val="left"/>
      <w:outlineLvl w:val="9"/>
    </w:pPr>
    <w:rPr>
      <w:rFonts w:ascii="Calibri" w:hAnsi="Calibri" w:eastAsia="宋体" w:cs="Arial"/>
      <w:snapToGrid/>
      <w:color w:val="000000"/>
      <w:kern w:val="2"/>
      <w:sz w:val="21"/>
      <w:szCs w:val="20"/>
    </w:rPr>
  </w:style>
  <w:style w:type="paragraph" w:styleId="8">
    <w:name w:val="Plain Text"/>
    <w:basedOn w:val="1"/>
    <w:qFormat/>
    <w:uiPriority w:val="0"/>
    <w:rPr>
      <w:rFonts w:ascii="宋体" w:hAnsi="Courier New" w:eastAsia="宋体" w:cs="Courier New"/>
      <w:szCs w:val="21"/>
    </w:rPr>
  </w:style>
  <w:style w:type="paragraph" w:styleId="9">
    <w:name w:val="footer"/>
    <w:basedOn w:val="1"/>
    <w:qFormat/>
    <w:uiPriority w:val="0"/>
    <w:pPr>
      <w:tabs>
        <w:tab w:val="center" w:pos="4153"/>
        <w:tab w:val="right" w:pos="8306"/>
      </w:tabs>
      <w:snapToGrid w:val="0"/>
      <w:jc w:val="left"/>
    </w:pPr>
    <w:rPr>
      <w:sz w:val="18"/>
    </w:rPr>
  </w:style>
  <w:style w:type="paragraph" w:styleId="10">
    <w:name w:val="toc 2"/>
    <w:basedOn w:val="1"/>
    <w:next w:val="1"/>
    <w:qFormat/>
    <w:uiPriority w:val="0"/>
    <w:pPr>
      <w:ind w:left="420" w:leftChars="200"/>
    </w:pPr>
    <w:rPr>
      <w:rFonts w:ascii="Arial" w:hAnsi="Arial" w:eastAsia="Arial" w:cs="Arial"/>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4">
    <w:name w:val="p0"/>
    <w:basedOn w:val="1"/>
    <w:qFormat/>
    <w:uiPriority w:val="0"/>
    <w:pPr>
      <w:spacing w:before="100" w:beforeAutospacing="1" w:after="100" w:afterAutospacing="1"/>
    </w:pPr>
    <w:rPr>
      <w:rFonts w:ascii="宋体" w:hAnsi="宋体" w:cs="宋体"/>
      <w:kern w:val="0"/>
      <w:sz w:val="24"/>
      <w:szCs w:val="24"/>
    </w:rPr>
  </w:style>
  <w:style w:type="character" w:customStyle="1" w:styleId="15">
    <w:name w:val="font21"/>
    <w:basedOn w:val="13"/>
    <w:qFormat/>
    <w:uiPriority w:val="0"/>
    <w:rPr>
      <w:rFonts w:hint="eastAsia" w:ascii="宋体" w:hAnsi="宋体" w:eastAsia="宋体" w:cs="宋体"/>
      <w:color w:val="000000"/>
      <w:sz w:val="24"/>
      <w:szCs w:val="24"/>
      <w:u w:val="none"/>
    </w:rPr>
  </w:style>
  <w:style w:type="character" w:customStyle="1" w:styleId="16">
    <w:name w:val="font11"/>
    <w:basedOn w:val="13"/>
    <w:qFormat/>
    <w:uiPriority w:val="0"/>
    <w:rPr>
      <w:rFonts w:ascii="DejaVu Sans" w:hAnsi="DejaVu Sans" w:eastAsia="DejaVu Sans" w:cs="DejaVu Sans"/>
      <w:color w:val="000000"/>
      <w:sz w:val="24"/>
      <w:szCs w:val="24"/>
      <w:u w:val="none"/>
    </w:rPr>
  </w:style>
  <w:style w:type="paragraph" w:customStyle="1" w:styleId="17">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7076</Words>
  <Characters>7648</Characters>
  <Lines>0</Lines>
  <Paragraphs>0</Paragraphs>
  <TotalTime>30</TotalTime>
  <ScaleCrop>false</ScaleCrop>
  <LinksUpToDate>false</LinksUpToDate>
  <CharactersWithSpaces>7673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2026-03-15T23:31:00Z</dcterms:created>
  <dc:creator>user</dc:creator>
  <cp:lastModifiedBy>微信用户</cp:lastModifiedBy>
  <dcterms:modified xsi:type="dcterms:W3CDTF">2026-07-23T09:31:03Z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100BB6665A6546979AABB03A345CB448_13</vt:lpwstr>
  </property>
  <property fmtid="{D5CDD505-2E9C-101B-9397-08002B2CF9AE}" pid="4" name="KSOTemplateDocerSaveRecord">
    <vt:lpwstr>eyJoZGlkIjoiZmFmMWU1YjgwMjFkMTU2MjAyMzAxYWViMDQzNTdkMGUiLCJ1c2VySWQiOiIxNDg3MDM0ODE4In0=</vt:lpwstr>
  </property>
</Properties>
</file>